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9"/>
        <w:spacing w:after="60"/>
        <w:rPr>
          <w:rFonts w:hint="default" w:eastAsia="SimSun"/>
          <w:sz w:val="32"/>
          <w:szCs w:val="32"/>
          <w:lang w:val="en-US" w:eastAsia="zh-CN"/>
        </w:rPr>
      </w:pPr>
      <w:r>
        <w:t>3GPP TSG RAN WG</w:t>
      </w:r>
      <w:r>
        <w:rPr>
          <w:rFonts w:hint="eastAsia" w:eastAsia="宋体"/>
          <w:lang w:val="en-US" w:eastAsia="zh-CN"/>
        </w:rPr>
        <w:t>2</w:t>
      </w:r>
      <w:r>
        <w:t xml:space="preserve"> #1</w:t>
      </w:r>
      <w:r>
        <w:rPr>
          <w:rFonts w:hint="eastAsia" w:eastAsia="宋体"/>
          <w:lang w:val="en-US" w:eastAsia="zh-CN"/>
        </w:rPr>
        <w:t>1</w:t>
      </w:r>
      <w:r>
        <w:t>9-e</w:t>
      </w:r>
      <w:r>
        <w:tab/>
      </w:r>
      <w:r>
        <w:t>R</w:t>
      </w:r>
      <w:r>
        <w:rPr>
          <w:rFonts w:hint="eastAsia" w:eastAsia="宋体"/>
          <w:lang w:val="en-US" w:eastAsia="zh-CN"/>
        </w:rPr>
        <w:t>2</w:t>
      </w:r>
      <w:r>
        <w:t>-</w:t>
      </w:r>
      <w:r>
        <w:rPr>
          <w:rFonts w:hint="eastAsia" w:eastAsia="SimSun"/>
          <w:lang w:val="en-US" w:eastAsia="zh-CN"/>
        </w:rPr>
        <w:t>2208615</w:t>
      </w:r>
    </w:p>
    <w:p>
      <w:pPr>
        <w:pStyle w:val="39"/>
      </w:pPr>
      <w:r>
        <w:t xml:space="preserve">e-Meeting, </w:t>
      </w:r>
      <w:r>
        <w:rPr>
          <w:rFonts w:hint="eastAsia" w:eastAsia="宋体"/>
          <w:lang w:val="en-US" w:eastAsia="zh-CN"/>
        </w:rPr>
        <w:t>August 15</w:t>
      </w:r>
      <w:r>
        <w:rPr>
          <w:vertAlign w:val="superscript"/>
        </w:rPr>
        <w:t>th</w:t>
      </w:r>
      <w:r>
        <w:t xml:space="preserve"> – 2</w:t>
      </w:r>
      <w:r>
        <w:rPr>
          <w:rFonts w:hint="eastAsia" w:eastAsia="宋体"/>
          <w:lang w:val="en-US" w:eastAsia="zh-CN"/>
        </w:rPr>
        <w:t>6</w:t>
      </w:r>
      <w:r>
        <w:rPr>
          <w:vertAlign w:val="superscript"/>
        </w:rPr>
        <w:t>th</w:t>
      </w:r>
      <w:r>
        <w:t>, 2022</w:t>
      </w:r>
    </w:p>
    <w:p>
      <w:pPr>
        <w:pStyle w:val="39"/>
        <w:spacing w:after="0"/>
        <w:rPr>
          <w:rFonts w:cs="Arial"/>
          <w:sz w:val="22"/>
        </w:rPr>
      </w:pP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hint="eastAsia" w:eastAsia="SimSun" w:cs="Arial"/>
          <w:sz w:val="22"/>
          <w:lang w:val="en-US" w:eastAsia="zh-CN"/>
        </w:rPr>
      </w:pPr>
      <w:r>
        <w:rPr>
          <w:rFonts w:cs="Arial"/>
          <w:sz w:val="22"/>
        </w:rPr>
        <w:t>Agenda Item:</w:t>
      </w:r>
      <w:r>
        <w:rPr>
          <w:rFonts w:cs="Arial"/>
          <w:sz w:val="22"/>
        </w:rPr>
        <w:tab/>
      </w:r>
      <w:r>
        <w:rPr>
          <w:rFonts w:ascii="Arial" w:hAnsi="Arial" w:cs="Arial"/>
          <w:sz w:val="22"/>
        </w:rPr>
        <w:t>8.</w:t>
      </w:r>
      <w:r>
        <w:rPr>
          <w:rFonts w:hint="eastAsia" w:eastAsia="SimSun" w:cs="Arial"/>
          <w:sz w:val="22"/>
          <w:lang w:val="en-US" w:eastAsia="zh-CN"/>
        </w:rPr>
        <w:t>14</w:t>
      </w:r>
      <w:r>
        <w:rPr>
          <w:rFonts w:ascii="Arial" w:hAnsi="Arial" w:cs="Arial"/>
          <w:sz w:val="22"/>
        </w:rPr>
        <w:t>.</w:t>
      </w:r>
      <w:r>
        <w:rPr>
          <w:rFonts w:hint="eastAsia" w:eastAsia="SimSun" w:cs="Arial"/>
          <w:sz w:val="22"/>
          <w:lang w:val="en-US" w:eastAsia="zh-CN"/>
        </w:rPr>
        <w:t>2</w:t>
      </w: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宋体" w:cs="Arial"/>
          <w:sz w:val="22"/>
          <w:lang w:val="en-US" w:eastAsia="zh-CN"/>
        </w:rPr>
      </w:pPr>
      <w:r>
        <w:rPr>
          <w:rFonts w:cs="Arial"/>
          <w:sz w:val="22"/>
        </w:rPr>
        <w:t>Source:</w:t>
      </w:r>
      <w:r>
        <w:rPr>
          <w:rFonts w:cs="Arial"/>
          <w:sz w:val="22"/>
        </w:rPr>
        <w:tab/>
      </w:r>
      <w:r>
        <w:rPr>
          <w:rFonts w:hint="eastAsia" w:eastAsia="宋体" w:cs="Arial"/>
          <w:sz w:val="22"/>
          <w:lang w:val="en-US" w:eastAsia="zh-CN"/>
        </w:rPr>
        <w:t>ZTE Corporation, Sanechips</w:t>
      </w: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hint="default" w:eastAsia="SimSun" w:cs="Arial"/>
          <w:sz w:val="22"/>
          <w:lang w:val="en-US" w:eastAsia="zh-CN"/>
        </w:rPr>
      </w:pPr>
      <w:r>
        <w:rPr>
          <w:rFonts w:cs="Arial"/>
          <w:sz w:val="22"/>
        </w:rPr>
        <w:t>Title:</w:t>
      </w:r>
      <w:r>
        <w:rPr>
          <w:rFonts w:cs="Arial"/>
          <w:sz w:val="22"/>
        </w:rPr>
        <w:tab/>
      </w:r>
      <w:r>
        <w:rPr>
          <w:rFonts w:hint="eastAsia" w:eastAsia="SimSun"/>
          <w:sz w:val="22"/>
          <w:lang w:val="en-US" w:eastAsia="zh-CN"/>
        </w:rPr>
        <w:t>Discussion on Rel-18 QoE measurement</w:t>
      </w:r>
    </w:p>
    <w:p>
      <w:pPr>
        <w:pStyle w:val="39"/>
        <w:keepNext w:val="0"/>
        <w:keepLines w:val="0"/>
        <w:pageBreakBefore w:val="0"/>
        <w:widowControl/>
        <w:kinsoku/>
        <w:wordWrap/>
        <w:overflowPunct/>
        <w:topLinePunct w:val="0"/>
        <w:autoSpaceDE/>
        <w:autoSpaceDN/>
        <w:bidi w:val="0"/>
        <w:adjustRightInd/>
        <w:snapToGrid/>
        <w:spacing w:after="0" w:line="300" w:lineRule="auto"/>
        <w:textAlignment w:val="auto"/>
        <w:rPr>
          <w:rFonts w:cs="Arial"/>
          <w:sz w:val="22"/>
        </w:rPr>
      </w:pPr>
      <w:r>
        <w:rPr>
          <w:rFonts w:cs="Arial"/>
          <w:sz w:val="22"/>
        </w:rPr>
        <w:t>Document for:</w:t>
      </w:r>
      <w:r>
        <w:rPr>
          <w:rFonts w:cs="Arial"/>
          <w:sz w:val="22"/>
        </w:rPr>
        <w:tab/>
      </w:r>
      <w:r>
        <w:rPr>
          <w:rFonts w:cs="Arial"/>
          <w:sz w:val="22"/>
        </w:rPr>
        <w:t>Discussion and Decision</w:t>
      </w:r>
    </w:p>
    <w:p>
      <w:pPr>
        <w:pStyle w:val="39"/>
        <w:spacing w:after="0"/>
        <w:rPr>
          <w:color w:val="FF0000"/>
          <w:sz w:val="22"/>
        </w:rPr>
      </w:pPr>
    </w:p>
    <w:p>
      <w:pPr>
        <w:pStyle w:val="2"/>
        <w:rPr>
          <w:rFonts w:cs="Arial"/>
          <w:b/>
          <w:bCs/>
          <w:lang w:val="en-US"/>
        </w:rPr>
      </w:pPr>
      <w:r>
        <w:rPr>
          <w:rFonts w:cs="Arial"/>
          <w:b/>
          <w:bCs/>
          <w:lang w:val="en-US"/>
        </w:rPr>
        <w:t>Introduction</w:t>
      </w:r>
    </w:p>
    <w:p>
      <w:pPr>
        <w:pStyle w:val="70"/>
        <w:spacing w:before="120" w:beforeLines="50" w:afterLines="50"/>
        <w:jc w:val="both"/>
        <w:textAlignment w:val="center"/>
        <w:rPr>
          <w:rFonts w:ascii="Times New Roman" w:hAnsi="Times New Roman"/>
          <w:sz w:val="22"/>
          <w:szCs w:val="22"/>
          <w:lang w:val="en-US" w:eastAsia="zh-CN"/>
        </w:rPr>
      </w:pPr>
      <w:r>
        <w:rPr>
          <w:rFonts w:ascii="Times New Roman" w:hAnsi="Times New Roman"/>
          <w:sz w:val="22"/>
          <w:szCs w:val="22"/>
          <w:lang w:eastAsia="zh-CN"/>
        </w:rPr>
        <w:t xml:space="preserve">The </w:t>
      </w:r>
      <w:r>
        <w:rPr>
          <w:rFonts w:ascii="Times New Roman" w:hAnsi="Times New Roman"/>
          <w:sz w:val="22"/>
          <w:szCs w:val="22"/>
          <w:lang w:val="en-US" w:eastAsia="zh-CN"/>
        </w:rPr>
        <w:t>new WID</w:t>
      </w:r>
      <w:r>
        <w:rPr>
          <w:rFonts w:ascii="Times New Roman" w:hAnsi="Times New Roman"/>
          <w:sz w:val="22"/>
          <w:szCs w:val="22"/>
          <w:lang w:eastAsia="zh-CN"/>
        </w:rPr>
        <w:t xml:space="preserve"> of </w:t>
      </w:r>
      <w:r>
        <w:rPr>
          <w:rFonts w:hint="eastAsia" w:ascii="Times New Roman" w:hAnsi="Times New Roman"/>
          <w:sz w:val="22"/>
          <w:szCs w:val="22"/>
          <w:lang w:val="en-US" w:eastAsia="zh-CN"/>
        </w:rPr>
        <w:t>e</w:t>
      </w:r>
      <w:r>
        <w:rPr>
          <w:rFonts w:hint="eastAsia" w:ascii="Times New Roman" w:hAnsi="Times New Roman"/>
          <w:sz w:val="22"/>
          <w:szCs w:val="22"/>
          <w:lang w:eastAsia="zh-CN"/>
        </w:rPr>
        <w:t>nhancement on NR QoE management and optimizations for diverse services</w:t>
      </w:r>
      <w:r>
        <w:rPr>
          <w:rFonts w:ascii="Times New Roman" w:hAnsi="Times New Roman"/>
          <w:sz w:val="22"/>
          <w:szCs w:val="22"/>
          <w:lang w:eastAsia="zh-CN"/>
        </w:rPr>
        <w:t xml:space="preserve"> w</w:t>
      </w:r>
      <w:r>
        <w:rPr>
          <w:rFonts w:hint="eastAsia" w:ascii="Times New Roman" w:hAnsi="Times New Roman"/>
          <w:sz w:val="22"/>
          <w:szCs w:val="22"/>
          <w:lang w:val="en-US" w:eastAsia="zh-CN"/>
        </w:rPr>
        <w:t>a</w:t>
      </w:r>
      <w:r>
        <w:rPr>
          <w:rFonts w:ascii="Times New Roman" w:hAnsi="Times New Roman"/>
          <w:sz w:val="22"/>
          <w:szCs w:val="22"/>
          <w:lang w:val="en-US" w:eastAsia="zh-CN"/>
        </w:rPr>
        <w:t>s</w:t>
      </w:r>
      <w:r>
        <w:rPr>
          <w:rFonts w:ascii="Times New Roman" w:hAnsi="Times New Roman"/>
          <w:sz w:val="22"/>
          <w:szCs w:val="22"/>
          <w:lang w:eastAsia="zh-CN"/>
        </w:rPr>
        <w:t xml:space="preserve"> approved in RAN#</w:t>
      </w:r>
      <w:r>
        <w:rPr>
          <w:rFonts w:hint="eastAsia" w:ascii="Times New Roman" w:hAnsi="Times New Roman"/>
          <w:sz w:val="22"/>
          <w:szCs w:val="22"/>
          <w:lang w:val="en-US" w:eastAsia="zh-CN"/>
        </w:rPr>
        <w:t>96</w:t>
      </w:r>
      <w:r>
        <w:rPr>
          <w:rFonts w:ascii="Times New Roman" w:hAnsi="Times New Roman"/>
          <w:sz w:val="22"/>
          <w:szCs w:val="22"/>
          <w:lang w:eastAsia="zh-CN"/>
        </w:rPr>
        <w:t>[</w:t>
      </w:r>
      <w:r>
        <w:rPr>
          <w:rFonts w:ascii="Times New Roman" w:hAnsi="Times New Roman"/>
          <w:sz w:val="22"/>
          <w:szCs w:val="22"/>
          <w:lang w:val="en-US" w:eastAsia="zh-CN"/>
        </w:rPr>
        <w:t>1</w:t>
      </w:r>
      <w:r>
        <w:rPr>
          <w:rFonts w:ascii="Times New Roman" w:hAnsi="Times New Roman"/>
          <w:sz w:val="22"/>
          <w:szCs w:val="22"/>
          <w:lang w:eastAsia="zh-CN"/>
        </w:rPr>
        <w:t>]</w:t>
      </w:r>
      <w:r>
        <w:rPr>
          <w:rFonts w:ascii="Times New Roman" w:hAnsi="Times New Roman"/>
          <w:sz w:val="22"/>
          <w:szCs w:val="22"/>
          <w:lang w:val="en-US" w:eastAsia="zh-CN"/>
        </w:rPr>
        <w:t xml:space="preserve">. In which, the following </w:t>
      </w:r>
      <w:r>
        <w:rPr>
          <w:rFonts w:ascii="Times New Roman" w:hAnsi="Times New Roman"/>
          <w:sz w:val="22"/>
          <w:szCs w:val="22"/>
          <w:lang w:eastAsia="zh-CN"/>
        </w:rPr>
        <w:t xml:space="preserve">objective </w:t>
      </w:r>
      <w:r>
        <w:rPr>
          <w:rFonts w:ascii="Times New Roman" w:hAnsi="Times New Roman"/>
          <w:sz w:val="22"/>
          <w:szCs w:val="22"/>
          <w:lang w:val="en-US" w:eastAsia="zh-CN"/>
        </w:rPr>
        <w:t>is included</w:t>
      </w:r>
      <w:r>
        <w:rPr>
          <w:rFonts w:ascii="Times New Roman" w:hAnsi="Times New Roman"/>
          <w:sz w:val="22"/>
          <w:szCs w:val="22"/>
          <w:lang w:eastAsia="zh-CN"/>
        </w:rPr>
        <w:t>:</w:t>
      </w:r>
    </w:p>
    <w:tbl>
      <w:tblPr>
        <w:tblStyle w:val="22"/>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065" w:type="dxa"/>
          </w:tcPr>
          <w:p>
            <w:pPr>
              <w:spacing w:after="0"/>
              <w:ind w:left="360"/>
              <w:jc w:val="both"/>
              <w:textAlignment w:val="center"/>
              <w:rPr>
                <w:rFonts w:eastAsia="宋体"/>
                <w:bCs/>
                <w:i/>
                <w:sz w:val="22"/>
                <w:szCs w:val="22"/>
              </w:rPr>
            </w:pPr>
            <w:r>
              <w:rPr>
                <w:rFonts w:eastAsia="宋体"/>
                <w:bCs/>
                <w:i/>
                <w:sz w:val="22"/>
                <w:szCs w:val="22"/>
              </w:rPr>
              <w:t>...</w:t>
            </w:r>
          </w:p>
          <w:p>
            <w:pPr>
              <w:numPr>
                <w:ilvl w:val="0"/>
                <w:numId w:val="7"/>
              </w:numPr>
              <w:spacing w:before="120" w:beforeLines="50" w:after="0"/>
              <w:jc w:val="both"/>
              <w:rPr>
                <w:bCs/>
                <w:i/>
                <w:iCs/>
                <w:lang w:eastAsia="zh-CN"/>
              </w:rPr>
            </w:pPr>
            <w:r>
              <w:rPr>
                <w:i/>
                <w:iCs/>
              </w:rPr>
              <w:t>Support for new service type, such as AR, MR, MBS and other new service type defined or to be supported by SA4. Support RAN-visible parameters for</w:t>
            </w:r>
            <w:r>
              <w:rPr>
                <w:rFonts w:hint="eastAsia"/>
                <w:i/>
                <w:iCs/>
                <w:lang w:val="en-US" w:eastAsia="zh-CN"/>
              </w:rPr>
              <w:t xml:space="preserve"> the </w:t>
            </w:r>
            <w:r>
              <w:rPr>
                <w:i/>
                <w:iCs/>
              </w:rPr>
              <w:t>additional service types</w:t>
            </w:r>
            <w:r>
              <w:rPr>
                <w:rFonts w:hint="eastAsia"/>
                <w:i/>
                <w:iCs/>
                <w:lang w:val="en-US" w:eastAsia="zh-CN"/>
              </w:rPr>
              <w:t>, and</w:t>
            </w:r>
            <w:r>
              <w:rPr>
                <w:i/>
                <w:iCs/>
              </w:rPr>
              <w:t xml:space="preserve"> </w:t>
            </w:r>
            <w:r>
              <w:rPr>
                <w:rFonts w:hint="eastAsia"/>
                <w:i/>
                <w:iCs/>
                <w:lang w:val="en-US" w:eastAsia="zh-CN"/>
              </w:rPr>
              <w:t>the existing service if needed</w:t>
            </w:r>
            <w:r>
              <w:rPr>
                <w:i/>
                <w:iCs/>
              </w:rPr>
              <w:t>, and the coordination with SA4 is needed</w:t>
            </w:r>
            <w:r>
              <w:rPr>
                <w:rFonts w:hint="eastAsia"/>
                <w:i/>
                <w:iCs/>
                <w:lang w:val="en-US" w:eastAsia="zh-CN"/>
              </w:rPr>
              <w:t xml:space="preserve"> </w:t>
            </w:r>
            <w:r>
              <w:rPr>
                <w:bCs/>
                <w:i/>
                <w:iCs/>
              </w:rPr>
              <w:t>[RAN3, RAN2].</w:t>
            </w:r>
          </w:p>
          <w:p>
            <w:pPr>
              <w:numPr>
                <w:ilvl w:val="0"/>
                <w:numId w:val="8"/>
              </w:numPr>
              <w:spacing w:after="0"/>
              <w:rPr>
                <w:bCs/>
                <w:i/>
                <w:iCs/>
                <w:lang w:eastAsia="zh-CN"/>
              </w:rPr>
            </w:pPr>
            <w:r>
              <w:rPr>
                <w:rFonts w:hint="eastAsia"/>
                <w:bCs/>
                <w:i/>
                <w:iCs/>
                <w:lang w:val="en-US" w:eastAsia="zh-CN"/>
              </w:rPr>
              <w:t xml:space="preserve">Specify the new service and the existing service </w:t>
            </w:r>
            <w:r>
              <w:rPr>
                <w:i/>
                <w:iCs/>
              </w:rPr>
              <w:t>defined or to be supported by SA4</w:t>
            </w:r>
            <w:r>
              <w:rPr>
                <w:rFonts w:hint="eastAsia"/>
                <w:i/>
                <w:iCs/>
                <w:lang w:val="en-US" w:eastAsia="zh-CN"/>
              </w:rPr>
              <w:t>,</w:t>
            </w:r>
            <w:r>
              <w:rPr>
                <w:rFonts w:hint="eastAsia"/>
                <w:bCs/>
                <w:i/>
                <w:iCs/>
                <w:lang w:val="en-US" w:eastAsia="zh-CN"/>
              </w:rPr>
              <w:t xml:space="preserve"> combined with high mobility scenarios, e.g., </w:t>
            </w:r>
            <w:r>
              <w:rPr>
                <w:i/>
                <w:iCs/>
              </w:rPr>
              <w:t>High Speed Trains.</w:t>
            </w:r>
          </w:p>
          <w:p>
            <w:pPr>
              <w:numPr>
                <w:ilvl w:val="0"/>
                <w:numId w:val="7"/>
              </w:numPr>
              <w:spacing w:before="120" w:beforeLines="50" w:after="0"/>
              <w:jc w:val="both"/>
              <w:rPr>
                <w:bCs/>
                <w:i/>
                <w:iCs/>
                <w:lang w:eastAsia="zh-CN"/>
              </w:rPr>
            </w:pPr>
            <w:r>
              <w:rPr>
                <w:bCs/>
                <w:i/>
                <w:iCs/>
                <w:lang w:eastAsia="zh-CN"/>
              </w:rPr>
              <w:t>Specify for QoE measurement</w:t>
            </w:r>
            <w:r>
              <w:rPr>
                <w:rFonts w:hint="eastAsia"/>
                <w:bCs/>
                <w:i/>
                <w:iCs/>
                <w:lang w:val="en-US" w:eastAsia="zh-CN"/>
              </w:rPr>
              <w:t xml:space="preserve"> configuration and</w:t>
            </w:r>
            <w:r>
              <w:rPr>
                <w:bCs/>
                <w:i/>
                <w:iCs/>
                <w:lang w:eastAsia="zh-CN"/>
              </w:rPr>
              <w:t xml:space="preserve"> collection </w:t>
            </w:r>
            <w:r>
              <w:rPr>
                <w:rFonts w:hint="eastAsia"/>
                <w:bCs/>
                <w:i/>
                <w:iCs/>
                <w:lang w:val="en-US" w:eastAsia="zh-CN"/>
              </w:rPr>
              <w:t>in RRC_INACTIVE and RRC_IDLE states</w:t>
            </w:r>
            <w:r>
              <w:rPr>
                <w:bCs/>
                <w:i/>
                <w:iCs/>
                <w:lang w:eastAsia="zh-CN"/>
              </w:rPr>
              <w:t xml:space="preserve"> </w:t>
            </w:r>
            <w:r>
              <w:rPr>
                <w:rFonts w:hint="eastAsia"/>
                <w:bCs/>
                <w:i/>
                <w:iCs/>
                <w:lang w:val="en-US" w:eastAsia="zh-CN"/>
              </w:rPr>
              <w:t xml:space="preserve">for MBS, at least </w:t>
            </w:r>
            <w:r>
              <w:rPr>
                <w:bCs/>
                <w:i/>
                <w:iCs/>
                <w:lang w:eastAsia="zh-CN"/>
              </w:rPr>
              <w:t xml:space="preserve">for </w:t>
            </w:r>
            <w:r>
              <w:rPr>
                <w:rFonts w:hint="eastAsia"/>
                <w:bCs/>
                <w:i/>
                <w:iCs/>
                <w:lang w:val="en-US" w:eastAsia="zh-CN"/>
              </w:rPr>
              <w:t xml:space="preserve">broadcast </w:t>
            </w:r>
            <w:r>
              <w:rPr>
                <w:bCs/>
                <w:i/>
                <w:iCs/>
                <w:lang w:eastAsia="zh-CN"/>
              </w:rPr>
              <w:t>service</w:t>
            </w:r>
            <w:r>
              <w:rPr>
                <w:bCs/>
                <w:i/>
                <w:iCs/>
                <w:lang w:val="en-US" w:eastAsia="zh-CN"/>
              </w:rPr>
              <w:t xml:space="preserve"> </w:t>
            </w:r>
            <w:r>
              <w:rPr>
                <w:bCs/>
                <w:i/>
                <w:iCs/>
              </w:rPr>
              <w:t>[RAN3, RAN2]</w:t>
            </w:r>
            <w:r>
              <w:rPr>
                <w:bCs/>
                <w:i/>
                <w:iCs/>
                <w:lang w:eastAsia="zh-CN"/>
              </w:rPr>
              <w:t>.</w:t>
            </w:r>
          </w:p>
          <w:p>
            <w:pPr>
              <w:numPr>
                <w:ilvl w:val="0"/>
                <w:numId w:val="8"/>
              </w:numPr>
              <w:spacing w:after="0"/>
              <w:rPr>
                <w:bCs/>
                <w:i/>
                <w:iCs/>
                <w:lang w:val="en-US" w:eastAsia="zh-CN"/>
              </w:rPr>
            </w:pPr>
            <w:r>
              <w:rPr>
                <w:bCs/>
                <w:i/>
                <w:iCs/>
                <w:lang w:eastAsia="zh-CN"/>
              </w:rPr>
              <w:t xml:space="preserve">Specify the mechanism to support the alignment of </w:t>
            </w:r>
            <w:r>
              <w:rPr>
                <w:rFonts w:hint="eastAsia"/>
                <w:bCs/>
                <w:i/>
                <w:iCs/>
                <w:lang w:val="en-US" w:eastAsia="zh-CN"/>
              </w:rPr>
              <w:t xml:space="preserve">the existing </w:t>
            </w:r>
            <w:r>
              <w:rPr>
                <w:bCs/>
                <w:i/>
                <w:iCs/>
                <w:lang w:eastAsia="zh-CN"/>
              </w:rPr>
              <w:t>radio related measurement and QoE reporting.</w:t>
            </w:r>
          </w:p>
          <w:p>
            <w:pPr>
              <w:numPr>
                <w:ilvl w:val="0"/>
                <w:numId w:val="7"/>
              </w:numPr>
              <w:spacing w:before="120" w:beforeLines="50" w:after="0"/>
              <w:jc w:val="both"/>
              <w:rPr>
                <w:bCs/>
                <w:i/>
                <w:iCs/>
                <w:lang w:eastAsia="zh-CN"/>
              </w:rPr>
            </w:pPr>
            <w:r>
              <w:rPr>
                <w:bCs/>
                <w:i/>
                <w:iCs/>
                <w:lang w:eastAsia="zh-CN"/>
              </w:rPr>
              <w:t>Specify to support for QoE in NR-DC</w:t>
            </w:r>
            <w:r>
              <w:rPr>
                <w:rFonts w:hint="eastAsia"/>
                <w:bCs/>
                <w:i/>
                <w:iCs/>
                <w:lang w:eastAsia="zh-CN"/>
              </w:rPr>
              <w:t>, e.g. enable QoE reporting via SN</w:t>
            </w:r>
            <w:r>
              <w:rPr>
                <w:bCs/>
                <w:i/>
                <w:iCs/>
                <w:lang w:eastAsia="zh-CN"/>
              </w:rPr>
              <w:t xml:space="preserve"> [RAN3, RAN2].</w:t>
            </w:r>
          </w:p>
          <w:p>
            <w:pPr>
              <w:numPr>
                <w:ilvl w:val="0"/>
                <w:numId w:val="8"/>
              </w:numPr>
              <w:spacing w:after="0"/>
              <w:ind w:left="720" w:hanging="360"/>
              <w:rPr>
                <w:bCs/>
                <w:i/>
                <w:iCs/>
                <w:lang w:eastAsia="zh-CN"/>
              </w:rPr>
            </w:pPr>
            <w:r>
              <w:rPr>
                <w:i/>
                <w:iCs/>
              </w:rPr>
              <w:t>Specify the QoE configuration,</w:t>
            </w:r>
            <w:r>
              <w:rPr>
                <w:rFonts w:hint="eastAsia"/>
                <w:i/>
                <w:iCs/>
                <w:lang w:val="en-US" w:eastAsia="zh-CN"/>
              </w:rPr>
              <w:t xml:space="preserve"> and</w:t>
            </w:r>
            <w:r>
              <w:rPr>
                <w:i/>
                <w:iCs/>
              </w:rPr>
              <w:t xml:space="preserve"> measurement reporting over MN/SN for NR-DC architecture, and specify the QoE measurement reporting over the other DC leg </w:t>
            </w:r>
            <w:r>
              <w:rPr>
                <w:rFonts w:hint="eastAsia"/>
                <w:i/>
                <w:iCs/>
                <w:lang w:val="en-US" w:eastAsia="zh-CN"/>
              </w:rPr>
              <w:t>in order to maintain the reporting continuity</w:t>
            </w:r>
            <w:r>
              <w:rPr>
                <w:i/>
                <w:iCs/>
              </w:rPr>
              <w:t>.</w:t>
            </w:r>
          </w:p>
          <w:p>
            <w:pPr>
              <w:spacing w:after="0"/>
              <w:ind w:left="720"/>
              <w:rPr>
                <w:bCs/>
                <w:i/>
                <w:iCs/>
                <w:lang w:eastAsia="zh-CN"/>
              </w:rPr>
            </w:pPr>
            <w:r>
              <w:rPr>
                <w:bCs/>
                <w:i/>
                <w:iCs/>
                <w:lang w:eastAsia="zh-CN"/>
              </w:rPr>
              <w:t>Note 1: The QoE measurements are not perform</w:t>
            </w:r>
            <w:r>
              <w:rPr>
                <w:rFonts w:hint="eastAsia"/>
                <w:bCs/>
                <w:i/>
                <w:iCs/>
                <w:lang w:val="en-US" w:eastAsia="zh-CN"/>
              </w:rPr>
              <w:t>ed separately</w:t>
            </w:r>
            <w:r>
              <w:rPr>
                <w:bCs/>
                <w:i/>
                <w:iCs/>
                <w:lang w:eastAsia="zh-CN"/>
              </w:rPr>
              <w:t xml:space="preserve"> for </w:t>
            </w:r>
            <w:r>
              <w:rPr>
                <w:rFonts w:hint="eastAsia"/>
                <w:bCs/>
                <w:i/>
                <w:iCs/>
                <w:lang w:val="en-US" w:eastAsia="zh-CN"/>
              </w:rPr>
              <w:t xml:space="preserve">each </w:t>
            </w:r>
            <w:r>
              <w:rPr>
                <w:bCs/>
                <w:i/>
                <w:iCs/>
                <w:lang w:eastAsia="zh-CN"/>
              </w:rPr>
              <w:t>leg.</w:t>
            </w:r>
          </w:p>
          <w:p>
            <w:pPr>
              <w:numPr>
                <w:ilvl w:val="0"/>
                <w:numId w:val="8"/>
              </w:numPr>
              <w:spacing w:after="0"/>
              <w:ind w:left="720" w:hanging="360"/>
              <w:rPr>
                <w:bCs/>
                <w:i/>
                <w:iCs/>
                <w:lang w:eastAsia="zh-CN"/>
              </w:rPr>
            </w:pPr>
            <w:r>
              <w:rPr>
                <w:bCs/>
                <w:i/>
                <w:iCs/>
                <w:lang w:eastAsia="zh-CN"/>
              </w:rPr>
              <w:t xml:space="preserve">Support RAN-visible </w:t>
            </w:r>
            <w:r>
              <w:rPr>
                <w:rFonts w:hint="eastAsia"/>
                <w:bCs/>
                <w:i/>
                <w:iCs/>
                <w:lang w:val="en-US" w:eastAsia="zh-CN"/>
              </w:rPr>
              <w:t xml:space="preserve">QoE </w:t>
            </w:r>
            <w:r>
              <w:rPr>
                <w:bCs/>
                <w:i/>
                <w:iCs/>
                <w:lang w:eastAsia="zh-CN"/>
              </w:rPr>
              <w:t>and radio related measu</w:t>
            </w:r>
            <w:bookmarkStart w:id="5" w:name="_GoBack"/>
            <w:bookmarkEnd w:id="5"/>
            <w:r>
              <w:rPr>
                <w:bCs/>
                <w:i/>
                <w:iCs/>
                <w:lang w:eastAsia="zh-CN"/>
              </w:rPr>
              <w:t>rement configuration and reporting in NR-DC scenarios.</w:t>
            </w:r>
          </w:p>
          <w:p>
            <w:pPr>
              <w:numPr>
                <w:ilvl w:val="0"/>
                <w:numId w:val="8"/>
              </w:numPr>
              <w:spacing w:after="0"/>
              <w:ind w:left="720" w:hanging="360"/>
              <w:rPr>
                <w:bCs/>
                <w:i/>
                <w:iCs/>
                <w:lang w:eastAsia="zh-CN"/>
              </w:rPr>
            </w:pPr>
            <w:r>
              <w:rPr>
                <w:i/>
                <w:iCs/>
              </w:rPr>
              <w:t>Specify the QoE measurement continuity in mobility scenarios in NR-DC</w:t>
            </w:r>
            <w:r>
              <w:rPr>
                <w:bCs/>
                <w:i/>
                <w:iCs/>
                <w:lang w:eastAsia="zh-CN"/>
              </w:rPr>
              <w:t>.</w:t>
            </w:r>
          </w:p>
          <w:p>
            <w:pPr>
              <w:numPr>
                <w:ilvl w:val="0"/>
                <w:numId w:val="8"/>
              </w:numPr>
              <w:spacing w:after="0"/>
              <w:ind w:left="720" w:hanging="360"/>
              <w:rPr>
                <w:rFonts w:hint="eastAsia"/>
                <w:bCs/>
                <w:i/>
                <w:iCs/>
                <w:lang w:eastAsia="zh-CN"/>
              </w:rPr>
            </w:pPr>
            <w:r>
              <w:rPr>
                <w:i/>
                <w:iCs/>
              </w:rPr>
              <w:t>Specify the</w:t>
            </w:r>
            <w:r>
              <w:rPr>
                <w:i/>
                <w:iCs/>
                <w:highlight w:val="none"/>
              </w:rPr>
              <w:t xml:space="preserve"> alignment of </w:t>
            </w:r>
            <w:r>
              <w:rPr>
                <w:i/>
                <w:iCs/>
              </w:rPr>
              <w:t>QoE</w:t>
            </w:r>
            <w:r>
              <w:rPr>
                <w:rFonts w:hint="eastAsia"/>
                <w:i/>
                <w:iCs/>
                <w:lang w:val="en-US" w:eastAsia="zh-CN"/>
              </w:rPr>
              <w:t xml:space="preserve"> measurements (including legacy QoE and RAN visible QoE measurements)</w:t>
            </w:r>
            <w:r>
              <w:rPr>
                <w:i/>
                <w:iCs/>
              </w:rPr>
              <w:t xml:space="preserve"> and radio related measurement in NR-DC</w:t>
            </w:r>
            <w:r>
              <w:rPr>
                <w:bCs/>
                <w:i/>
                <w:iCs/>
                <w:lang w:eastAsia="zh-CN"/>
              </w:rPr>
              <w:t>.</w:t>
            </w:r>
          </w:p>
          <w:p>
            <w:pPr>
              <w:numPr>
                <w:ilvl w:val="0"/>
                <w:numId w:val="7"/>
              </w:numPr>
              <w:spacing w:before="120" w:beforeLines="50" w:after="0"/>
              <w:jc w:val="both"/>
              <w:rPr>
                <w:bCs/>
                <w:i/>
                <w:iCs/>
                <w:lang w:eastAsia="zh-CN"/>
              </w:rPr>
            </w:pPr>
            <w:r>
              <w:rPr>
                <w:i/>
                <w:iCs/>
              </w:rPr>
              <w:t>Support the continuity of</w:t>
            </w:r>
            <w:r>
              <w:rPr>
                <w:rFonts w:hint="eastAsia"/>
                <w:i/>
                <w:iCs/>
                <w:lang w:val="en-US" w:eastAsia="zh-CN"/>
              </w:rPr>
              <w:t xml:space="preserve"> legacy</w:t>
            </w:r>
            <w:r>
              <w:rPr>
                <w:i/>
                <w:iCs/>
              </w:rPr>
              <w:t xml:space="preserve"> QoE measurement job</w:t>
            </w:r>
            <w:r>
              <w:rPr>
                <w:rFonts w:hint="eastAsia"/>
                <w:i/>
                <w:iCs/>
                <w:lang w:val="en-US" w:eastAsia="zh-CN"/>
              </w:rPr>
              <w:t xml:space="preserve"> for </w:t>
            </w:r>
            <w:r>
              <w:rPr>
                <w:rFonts w:hint="eastAsia"/>
                <w:i/>
                <w:iCs/>
              </w:rPr>
              <w:t>streaming and MTSI service</w:t>
            </w:r>
            <w:r>
              <w:rPr>
                <w:rFonts w:hint="eastAsia"/>
                <w:i/>
                <w:iCs/>
                <w:lang w:val="en-US" w:eastAsia="zh-CN"/>
              </w:rPr>
              <w:t xml:space="preserve"> </w:t>
            </w:r>
            <w:r>
              <w:rPr>
                <w:i/>
                <w:iCs/>
              </w:rPr>
              <w:t>during</w:t>
            </w:r>
            <w:r>
              <w:rPr>
                <w:rFonts w:hint="eastAsia"/>
                <w:i/>
                <w:iCs/>
                <w:lang w:val="en-US" w:eastAsia="zh-CN"/>
              </w:rPr>
              <w:t xml:space="preserve"> intra-5GC</w:t>
            </w:r>
            <w:r>
              <w:rPr>
                <w:i/>
                <w:iCs/>
              </w:rPr>
              <w:t xml:space="preserve"> inter-RAT handover process</w:t>
            </w:r>
            <w:r>
              <w:rPr>
                <w:bCs/>
                <w:i/>
                <w:iCs/>
              </w:rPr>
              <w:t xml:space="preserve"> [RAN</w:t>
            </w:r>
            <w:r>
              <w:rPr>
                <w:rFonts w:hint="eastAsia"/>
                <w:bCs/>
                <w:i/>
                <w:iCs/>
                <w:lang w:val="en-US" w:eastAsia="zh-CN"/>
              </w:rPr>
              <w:t>2</w:t>
            </w:r>
            <w:r>
              <w:rPr>
                <w:bCs/>
                <w:i/>
                <w:iCs/>
              </w:rPr>
              <w:t>, RAN</w:t>
            </w:r>
            <w:r>
              <w:rPr>
                <w:rFonts w:hint="eastAsia"/>
                <w:bCs/>
                <w:i/>
                <w:iCs/>
                <w:lang w:val="en-US" w:eastAsia="zh-CN"/>
              </w:rPr>
              <w:t>3]</w:t>
            </w:r>
            <w:r>
              <w:rPr>
                <w:i/>
                <w:iCs/>
              </w:rPr>
              <w:t>.</w:t>
            </w:r>
          </w:p>
          <w:p>
            <w:pPr>
              <w:pStyle w:val="46"/>
              <w:numPr>
                <w:ilvl w:val="0"/>
                <w:numId w:val="0"/>
              </w:numPr>
              <w:spacing w:after="0"/>
              <w:ind w:left="0" w:leftChars="0"/>
              <w:jc w:val="both"/>
              <w:textAlignment w:val="center"/>
              <w:rPr>
                <w:rFonts w:eastAsia="宋体"/>
                <w:bCs/>
                <w:i/>
                <w:sz w:val="20"/>
                <w:szCs w:val="20"/>
              </w:rPr>
            </w:pPr>
          </w:p>
        </w:tc>
      </w:tr>
    </w:tbl>
    <w:p>
      <w:pPr>
        <w:spacing w:before="120" w:beforeLines="50" w:after="100"/>
        <w:jc w:val="both"/>
        <w:textAlignment w:val="center"/>
        <w:rPr>
          <w:i w:val="0"/>
          <w:iCs w:val="0"/>
          <w:sz w:val="22"/>
          <w:szCs w:val="22"/>
        </w:rPr>
      </w:pPr>
      <w:r>
        <w:rPr>
          <w:i w:val="0"/>
          <w:iCs w:val="0"/>
          <w:sz w:val="22"/>
          <w:szCs w:val="22"/>
        </w:rPr>
        <w:t xml:space="preserve">In this contribution, we will discuss </w:t>
      </w:r>
      <w:r>
        <w:rPr>
          <w:rFonts w:eastAsia="宋体"/>
          <w:i w:val="0"/>
          <w:iCs w:val="0"/>
          <w:sz w:val="22"/>
          <w:szCs w:val="22"/>
        </w:rPr>
        <w:t>the issues</w:t>
      </w:r>
      <w:r>
        <w:rPr>
          <w:i w:val="0"/>
          <w:iCs w:val="0"/>
          <w:sz w:val="22"/>
          <w:szCs w:val="22"/>
        </w:rPr>
        <w:t xml:space="preserve"> of </w:t>
      </w:r>
      <w:r>
        <w:rPr>
          <w:i w:val="0"/>
          <w:iCs w:val="0"/>
        </w:rPr>
        <w:t>new service type</w:t>
      </w:r>
      <w:r>
        <w:rPr>
          <w:rFonts w:hint="eastAsia" w:eastAsia="SimSun"/>
          <w:i w:val="0"/>
          <w:iCs w:val="0"/>
          <w:lang w:val="en-US" w:eastAsia="zh-CN"/>
        </w:rPr>
        <w:t>s</w:t>
      </w:r>
      <w:r>
        <w:rPr>
          <w:rFonts w:hint="eastAsia"/>
          <w:bCs/>
          <w:i w:val="0"/>
          <w:iCs w:val="0"/>
          <w:lang w:val="en-US" w:eastAsia="zh-CN"/>
        </w:rPr>
        <w:t xml:space="preserve">, QoE measurements in RRC_IDLE INACTIVE, </w:t>
      </w:r>
      <w:r>
        <w:rPr>
          <w:bCs/>
          <w:i w:val="0"/>
          <w:iCs w:val="0"/>
          <w:lang w:eastAsia="zh-CN"/>
        </w:rPr>
        <w:t>QoE in NR-DC</w:t>
      </w:r>
      <w:r>
        <w:rPr>
          <w:rFonts w:hint="eastAsia"/>
          <w:bCs/>
          <w:i w:val="0"/>
          <w:iCs w:val="0"/>
          <w:lang w:val="en-US" w:eastAsia="zh-CN"/>
        </w:rPr>
        <w:t xml:space="preserve"> </w:t>
      </w:r>
      <w:r>
        <w:rPr>
          <w:i w:val="0"/>
          <w:iCs w:val="0"/>
          <w:sz w:val="22"/>
          <w:szCs w:val="22"/>
        </w:rPr>
        <w:t>and</w:t>
      </w:r>
      <w:r>
        <w:rPr>
          <w:rFonts w:hint="eastAsia" w:eastAsia="宋体"/>
          <w:i w:val="0"/>
          <w:iCs w:val="0"/>
          <w:sz w:val="22"/>
          <w:szCs w:val="22"/>
        </w:rPr>
        <w:t xml:space="preserve"> </w:t>
      </w:r>
      <w:r>
        <w:rPr>
          <w:i w:val="0"/>
          <w:iCs w:val="0"/>
        </w:rPr>
        <w:t>the continuity of</w:t>
      </w:r>
      <w:r>
        <w:rPr>
          <w:rFonts w:hint="eastAsia"/>
          <w:i w:val="0"/>
          <w:iCs w:val="0"/>
          <w:lang w:val="en-US" w:eastAsia="zh-CN"/>
        </w:rPr>
        <w:t xml:space="preserve"> legacy</w:t>
      </w:r>
      <w:r>
        <w:rPr>
          <w:i w:val="0"/>
          <w:iCs w:val="0"/>
        </w:rPr>
        <w:t xml:space="preserve"> QoE measuremen</w:t>
      </w:r>
      <w:r>
        <w:rPr>
          <w:rFonts w:hint="eastAsia" w:eastAsia="SimSun"/>
          <w:i w:val="0"/>
          <w:iCs w:val="0"/>
          <w:lang w:val="en-US" w:eastAsia="zh-CN"/>
        </w:rPr>
        <w:t>t</w:t>
      </w:r>
      <w:r>
        <w:rPr>
          <w:i w:val="0"/>
          <w:iCs w:val="0"/>
          <w:sz w:val="22"/>
          <w:szCs w:val="22"/>
        </w:rPr>
        <w:t>. Then we’ll give our proposal</w:t>
      </w:r>
      <w:r>
        <w:rPr>
          <w:rFonts w:eastAsia="宋体"/>
          <w:i w:val="0"/>
          <w:iCs w:val="0"/>
          <w:sz w:val="22"/>
          <w:szCs w:val="22"/>
        </w:rPr>
        <w:t>s</w:t>
      </w:r>
      <w:r>
        <w:rPr>
          <w:i w:val="0"/>
          <w:iCs w:val="0"/>
          <w:sz w:val="22"/>
          <w:szCs w:val="22"/>
        </w:rPr>
        <w:t>.</w:t>
      </w:r>
    </w:p>
    <w:p>
      <w:pPr>
        <w:pStyle w:val="2"/>
        <w:rPr>
          <w:rFonts w:cs="Arial"/>
          <w:b/>
          <w:lang w:val="en-US"/>
        </w:rPr>
      </w:pPr>
      <w:r>
        <w:rPr>
          <w:rFonts w:cs="Arial"/>
          <w:b/>
          <w:bCs/>
          <w:lang w:val="en-US"/>
        </w:rPr>
        <w:t xml:space="preserve">Discussion </w:t>
      </w:r>
    </w:p>
    <w:p>
      <w:pPr>
        <w:pStyle w:val="3"/>
        <w:spacing w:line="360" w:lineRule="auto"/>
        <w:rPr>
          <w:rStyle w:val="25"/>
          <w:rFonts w:ascii="Arial" w:hAnsi="Arial" w:cs="Arial"/>
          <w:b/>
          <w:bCs/>
          <w:color w:val="auto"/>
        </w:rPr>
      </w:pPr>
      <w:r>
        <w:rPr>
          <w:rStyle w:val="25"/>
          <w:rFonts w:hint="eastAsia" w:ascii="Arial" w:hAnsi="Arial" w:eastAsia="宋体" w:cs="Arial"/>
          <w:b/>
          <w:bCs/>
          <w:color w:val="auto"/>
          <w:lang w:val="en-US" w:eastAsia="zh-CN"/>
        </w:rPr>
        <w:t>New service types</w:t>
      </w:r>
    </w:p>
    <w:p>
      <w:pPr>
        <w:spacing w:before="120" w:after="120" w:line="260" w:lineRule="auto"/>
        <w:jc w:val="both"/>
        <w:rPr>
          <w:rFonts w:hint="eastAsia" w:eastAsia="宋体"/>
          <w:sz w:val="22"/>
          <w:szCs w:val="22"/>
          <w:lang w:val="en-US" w:eastAsia="zh-CN"/>
        </w:rPr>
      </w:pPr>
      <w:r>
        <w:rPr>
          <w:rFonts w:hint="eastAsia" w:eastAsia="宋体"/>
          <w:sz w:val="22"/>
          <w:szCs w:val="22"/>
          <w:lang w:val="en-US" w:eastAsia="zh-CN"/>
        </w:rPr>
        <w:t xml:space="preserve">In Rel 18, considering some new supported service types </w:t>
      </w:r>
      <w:r>
        <w:rPr>
          <w:rFonts w:hint="eastAsia" w:eastAsia="宋体"/>
          <w:i w:val="0"/>
          <w:iCs w:val="0"/>
          <w:sz w:val="22"/>
          <w:szCs w:val="22"/>
          <w:lang w:val="en-US" w:eastAsia="zh-CN"/>
        </w:rPr>
        <w:t xml:space="preserve">(e.g., </w:t>
      </w:r>
      <w:r>
        <w:rPr>
          <w:i w:val="0"/>
          <w:iCs w:val="0"/>
          <w:sz w:val="22"/>
          <w:szCs w:val="22"/>
        </w:rPr>
        <w:t>AR, MR</w:t>
      </w:r>
      <w:r>
        <w:rPr>
          <w:rFonts w:hint="eastAsia" w:eastAsia="SimSun"/>
          <w:i w:val="0"/>
          <w:iCs w:val="0"/>
          <w:sz w:val="22"/>
          <w:szCs w:val="22"/>
          <w:lang w:val="en-US" w:eastAsia="zh-CN"/>
        </w:rPr>
        <w:t xml:space="preserve"> and</w:t>
      </w:r>
      <w:r>
        <w:rPr>
          <w:i w:val="0"/>
          <w:iCs w:val="0"/>
          <w:sz w:val="22"/>
          <w:szCs w:val="22"/>
        </w:rPr>
        <w:t xml:space="preserve"> MBS</w:t>
      </w:r>
      <w:r>
        <w:rPr>
          <w:rFonts w:hint="eastAsia" w:eastAsia="宋体"/>
          <w:i w:val="0"/>
          <w:iCs w:val="0"/>
          <w:sz w:val="22"/>
          <w:szCs w:val="22"/>
          <w:lang w:val="en-US" w:eastAsia="zh-CN"/>
        </w:rPr>
        <w:t>)</w:t>
      </w:r>
      <w:r>
        <w:rPr>
          <w:rFonts w:hint="eastAsia" w:eastAsia="宋体"/>
          <w:sz w:val="22"/>
          <w:szCs w:val="22"/>
          <w:lang w:val="en-US" w:eastAsia="zh-CN"/>
        </w:rPr>
        <w:t xml:space="preserve"> in the QoE measurement, it is necessary to carry the new service types when performing the QoE measurement. Wherein, the QoE measurement includes legacy QoE measurement and RVQoE (RAN Visible QoE) measurement. Furthermore, the legacy QoE measurement is divided into </w:t>
      </w:r>
      <w:r>
        <w:rPr>
          <w:rFonts w:hint="eastAsia" w:eastAsia="宋体"/>
          <w:lang w:val="en-US" w:eastAsia="zh-CN"/>
        </w:rPr>
        <w:t xml:space="preserve">management-based QoE and signaling-based QoE. Thus, the new service types should be included in signaling-based QoE measurement configuration information from core network to gNB. And the new service types should also be included in QoE configuration information (e.g., legacy QoE and RVQoE) from gNB to UE. </w:t>
      </w:r>
      <w:r>
        <w:rPr>
          <w:rFonts w:hint="eastAsia" w:eastAsia="宋体"/>
          <w:sz w:val="22"/>
          <w:szCs w:val="22"/>
          <w:lang w:val="en-US" w:eastAsia="zh-CN"/>
        </w:rPr>
        <w:t>In addition, similar to streaming and MTSI service which already support QoE measurement, the new service types that need to be supported are reported in the UE capability information.</w:t>
      </w:r>
    </w:p>
    <w:p>
      <w:pPr>
        <w:spacing w:before="120" w:after="120" w:line="260" w:lineRule="auto"/>
        <w:jc w:val="both"/>
        <w:rPr>
          <w:rFonts w:hint="eastAsia"/>
          <w:b/>
          <w:bCs/>
          <w:lang w:val="en-US" w:eastAsia="zh-CN"/>
        </w:rPr>
      </w:pPr>
      <w:r>
        <w:rPr>
          <w:b/>
          <w:bCs/>
        </w:rPr>
        <w:t>Proposa</w:t>
      </w:r>
      <w:r>
        <w:rPr>
          <w:rFonts w:hint="eastAsia"/>
          <w:b/>
          <w:bCs/>
          <w:lang w:val="en-US" w:eastAsia="zh-CN"/>
        </w:rPr>
        <w:t>l 1</w:t>
      </w:r>
      <w:r>
        <w:rPr>
          <w:b/>
          <w:bCs/>
        </w:rPr>
        <w:t>:</w:t>
      </w:r>
      <w:r>
        <w:rPr>
          <w:b/>
          <w:bCs/>
          <w:lang w:eastAsia="zh-CN"/>
        </w:rPr>
        <w:t xml:space="preserve"> </w:t>
      </w:r>
      <w:r>
        <w:rPr>
          <w:rFonts w:hint="eastAsia"/>
          <w:b/>
          <w:bCs/>
          <w:lang w:val="en-US" w:eastAsia="zh-CN"/>
        </w:rPr>
        <w:t>It</w:t>
      </w:r>
      <w:r>
        <w:rPr>
          <w:rFonts w:hint="default"/>
          <w:b/>
          <w:bCs/>
          <w:lang w:val="en-US" w:eastAsia="zh-CN"/>
        </w:rPr>
        <w:t>’</w:t>
      </w:r>
      <w:r>
        <w:rPr>
          <w:rFonts w:hint="eastAsia"/>
          <w:b/>
          <w:bCs/>
          <w:lang w:val="en-US" w:eastAsia="zh-CN"/>
        </w:rPr>
        <w:t>s suggested to i</w:t>
      </w:r>
      <w:r>
        <w:rPr>
          <w:b/>
          <w:bCs/>
          <w:lang w:eastAsia="zh-CN"/>
        </w:rPr>
        <w:t xml:space="preserve">ntroduce QoE </w:t>
      </w:r>
      <w:r>
        <w:rPr>
          <w:rFonts w:hint="eastAsia"/>
          <w:b/>
          <w:bCs/>
          <w:lang w:val="en-US" w:eastAsia="zh-CN"/>
        </w:rPr>
        <w:t>configuration information (e.g., legacy QoE and RVQoE) and UE capability information for each service type (e.g., AR, MR and MBS).</w:t>
      </w:r>
    </w:p>
    <w:p>
      <w:pPr>
        <w:spacing w:before="120" w:after="120" w:line="260" w:lineRule="auto"/>
        <w:jc w:val="both"/>
        <w:rPr>
          <w:rFonts w:hint="default"/>
          <w:b/>
          <w:bCs/>
          <w:lang w:val="en-US" w:eastAsia="zh-CN"/>
        </w:rPr>
      </w:pPr>
    </w:p>
    <w:p>
      <w:pPr>
        <w:pStyle w:val="3"/>
        <w:spacing w:line="360" w:lineRule="auto"/>
        <w:rPr>
          <w:rFonts w:hint="eastAsia" w:eastAsia="宋体"/>
          <w:b/>
          <w:bCs/>
          <w:szCs w:val="21"/>
          <w:u w:val="single"/>
          <w:lang w:val="en-US" w:eastAsia="zh-CN"/>
        </w:rPr>
      </w:pPr>
      <w:r>
        <w:rPr>
          <w:rStyle w:val="25"/>
          <w:rFonts w:hint="eastAsia" w:ascii="Arial" w:hAnsi="Arial" w:eastAsia="宋体" w:cs="Arial"/>
          <w:b/>
          <w:bCs/>
          <w:color w:val="auto"/>
          <w:lang w:val="en-US" w:eastAsia="zh-CN"/>
        </w:rPr>
        <w:t>QoE measurements in RRC_IDLE INACTIVE</w:t>
      </w:r>
    </w:p>
    <w:p>
      <w:pPr>
        <w:spacing w:before="120" w:after="120" w:line="260" w:lineRule="auto"/>
        <w:jc w:val="both"/>
        <w:rPr>
          <w:rFonts w:hint="default" w:ascii="Times New Roman" w:hAnsi="Times New Roman" w:eastAsia="宋体"/>
          <w:b/>
          <w:bCs/>
          <w:szCs w:val="21"/>
          <w:u w:val="single"/>
          <w:lang w:val="en-US" w:eastAsia="zh-CN"/>
        </w:rPr>
      </w:pPr>
      <w:r>
        <w:rPr>
          <w:rFonts w:hint="eastAsia" w:eastAsia="宋体"/>
          <w:b/>
          <w:bCs/>
          <w:szCs w:val="21"/>
          <w:u w:val="single"/>
          <w:lang w:val="en-US" w:eastAsia="zh-CN"/>
        </w:rPr>
        <w:t>UE capabilities</w:t>
      </w:r>
    </w:p>
    <w:p>
      <w:pPr>
        <w:spacing w:before="120" w:after="120" w:line="260" w:lineRule="auto"/>
        <w:jc w:val="both"/>
        <w:rPr>
          <w:rFonts w:hint="eastAsia" w:eastAsia="宋体"/>
          <w:sz w:val="22"/>
          <w:szCs w:val="22"/>
          <w:lang w:val="en-US" w:eastAsia="zh-CN"/>
        </w:rPr>
      </w:pPr>
      <w:r>
        <w:rPr>
          <w:rFonts w:hint="eastAsia" w:eastAsia="宋体"/>
          <w:sz w:val="22"/>
          <w:szCs w:val="22"/>
          <w:lang w:val="en-US" w:eastAsia="zh-CN"/>
        </w:rPr>
        <w:t>In Rel 18, considering that the MBS service supports QoE measurement under RRC_INACTIVE and RRC_IDLE states, this means that it is necessary to know whether the current UE supports non-connected-state QoE measurement before the core network and gNB distribute the QoE configuration information. Thus, in QoE  measurement of MBS, whether UE always supports measurement under RRC_INACTIVE and RRC_IDLE states needs to be discussed. If so, no additional introduction of UE capability information is required. On the contrary, it is necessary to discuss the method of UE indicating whether or not to support measurement in RRC_INACTIVE and RRC_IDLE state.</w:t>
      </w:r>
    </w:p>
    <w:p>
      <w:pPr>
        <w:spacing w:before="120" w:after="120" w:line="260" w:lineRule="auto"/>
        <w:jc w:val="both"/>
        <w:rPr>
          <w:rFonts w:hint="eastAsia"/>
          <w:b/>
          <w:bCs/>
          <w:lang w:val="en-US" w:eastAsia="zh-CN"/>
        </w:rPr>
      </w:pPr>
      <w:r>
        <w:rPr>
          <w:b/>
          <w:bCs/>
        </w:rPr>
        <w:t>Proposa</w:t>
      </w:r>
      <w:r>
        <w:rPr>
          <w:rFonts w:hint="eastAsia"/>
          <w:b/>
          <w:bCs/>
          <w:lang w:val="en-US" w:eastAsia="zh-CN"/>
        </w:rPr>
        <w:t>l 2</w:t>
      </w:r>
      <w:r>
        <w:rPr>
          <w:b/>
          <w:bCs/>
        </w:rPr>
        <w:t>:</w:t>
      </w:r>
      <w:r>
        <w:rPr>
          <w:rFonts w:hint="eastAsia" w:eastAsia="SimSun"/>
          <w:b/>
          <w:bCs/>
          <w:lang w:val="en-US" w:eastAsia="zh-CN"/>
        </w:rPr>
        <w:t xml:space="preserve"> </w:t>
      </w:r>
      <w:r>
        <w:rPr>
          <w:rFonts w:hint="eastAsia"/>
          <w:b/>
          <w:bCs/>
          <w:lang w:val="en-US" w:eastAsia="zh-CN"/>
        </w:rPr>
        <w:t>It is suggested to discuss whether UE always supports measurement under RRC_INACTIVE and RRC_IDLE states, and if not, discuss the method of UE indicating the above capabilities.</w:t>
      </w:r>
    </w:p>
    <w:p>
      <w:pPr>
        <w:spacing w:before="120" w:after="120" w:line="260" w:lineRule="auto"/>
        <w:jc w:val="both"/>
        <w:rPr>
          <w:rFonts w:hint="default" w:ascii="Times New Roman" w:hAnsi="Times New Roman" w:eastAsia="宋体"/>
          <w:b/>
          <w:bCs/>
          <w:szCs w:val="21"/>
          <w:u w:val="single"/>
          <w:lang w:val="en-US" w:eastAsia="zh-CN"/>
        </w:rPr>
      </w:pPr>
      <w:r>
        <w:rPr>
          <w:rFonts w:hint="eastAsia" w:eastAsia="宋体"/>
          <w:b/>
          <w:bCs/>
          <w:szCs w:val="21"/>
          <w:u w:val="single"/>
          <w:lang w:val="en-US" w:eastAsia="zh-CN"/>
        </w:rPr>
        <w:t>Configuration</w:t>
      </w:r>
    </w:p>
    <w:p>
      <w:pPr>
        <w:spacing w:before="120" w:after="120" w:line="260" w:lineRule="auto"/>
        <w:jc w:val="both"/>
        <w:rPr>
          <w:rFonts w:hint="eastAsia" w:eastAsia="宋体"/>
          <w:sz w:val="22"/>
          <w:szCs w:val="22"/>
          <w:lang w:val="en-US" w:eastAsia="zh-CN"/>
        </w:rPr>
      </w:pPr>
      <w:r>
        <w:rPr>
          <w:rFonts w:hint="eastAsia" w:eastAsia="宋体"/>
          <w:sz w:val="22"/>
          <w:szCs w:val="22"/>
          <w:lang w:val="en-US" w:eastAsia="zh-CN"/>
        </w:rPr>
        <w:t xml:space="preserve">Furthermore, considering that the MBS service supports QoE measurement under </w:t>
      </w:r>
      <w:r>
        <w:rPr>
          <w:rFonts w:hint="eastAsia"/>
          <w:bCs/>
          <w:color w:val="auto"/>
          <w:highlight w:val="none"/>
          <w:lang w:val="en-US" w:eastAsia="zh-CN"/>
        </w:rPr>
        <w:t xml:space="preserve"> Non-CONNECTED state (</w:t>
      </w:r>
      <w:r>
        <w:rPr>
          <w:rFonts w:hint="eastAsia" w:eastAsia="宋体"/>
          <w:sz w:val="22"/>
          <w:szCs w:val="22"/>
          <w:lang w:val="en-US" w:eastAsia="zh-CN"/>
        </w:rPr>
        <w:t>RRC_INACTIVE and RRC_IDLE states</w:t>
      </w:r>
      <w:r>
        <w:rPr>
          <w:rFonts w:hint="eastAsia"/>
          <w:bCs/>
          <w:color w:val="auto"/>
          <w:highlight w:val="none"/>
          <w:lang w:val="en-US" w:eastAsia="zh-CN"/>
        </w:rPr>
        <w:t>)</w:t>
      </w:r>
      <w:r>
        <w:rPr>
          <w:rFonts w:hint="eastAsia" w:eastAsia="宋体"/>
          <w:sz w:val="22"/>
          <w:szCs w:val="22"/>
          <w:lang w:val="en-US" w:eastAsia="zh-CN"/>
        </w:rPr>
        <w:t xml:space="preserve">, this means that gNB needs to configure QoE configuration information for UE in </w:t>
      </w:r>
      <w:r>
        <w:rPr>
          <w:rFonts w:hint="eastAsia"/>
          <w:bCs/>
          <w:color w:val="auto"/>
          <w:highlight w:val="none"/>
          <w:lang w:val="en-US" w:eastAsia="zh-CN"/>
        </w:rPr>
        <w:t xml:space="preserve"> Non-CONNECTED state.</w:t>
      </w:r>
      <w:r>
        <w:rPr>
          <w:rFonts w:hint="eastAsia" w:eastAsia="宋体"/>
          <w:sz w:val="22"/>
          <w:szCs w:val="22"/>
          <w:lang w:val="en-US" w:eastAsia="zh-CN"/>
        </w:rPr>
        <w:t xml:space="preserve"> In the QoE configuration, we first need to discuss whether it is necessary for gNB to configure QoE measurement information for UE separately. Based on our understanding, the above configuration methods include the following two methods:</w:t>
      </w:r>
    </w:p>
    <w:p>
      <w:pPr>
        <w:spacing w:after="0"/>
        <w:ind w:left="720"/>
        <w:rPr>
          <w:rFonts w:hint="eastAsia"/>
          <w:bCs/>
          <w:color w:val="auto"/>
          <w:highlight w:val="none"/>
          <w:lang w:val="en-US" w:eastAsia="zh-CN"/>
        </w:rPr>
      </w:pPr>
      <w:r>
        <w:rPr>
          <w:rFonts w:hint="eastAsia"/>
          <w:b/>
          <w:bCs w:val="0"/>
          <w:color w:val="auto"/>
          <w:highlight w:val="none"/>
          <w:lang w:val="en-US" w:eastAsia="zh-CN"/>
        </w:rPr>
        <w:t>Option 1</w:t>
      </w:r>
      <w:r>
        <w:rPr>
          <w:rFonts w:hint="eastAsia"/>
          <w:bCs/>
          <w:color w:val="auto"/>
          <w:highlight w:val="none"/>
          <w:lang w:val="en-US" w:eastAsia="zh-CN"/>
        </w:rPr>
        <w:t xml:space="preserve">: Definitions of QoE configuration information specific to </w:t>
      </w:r>
      <w:r>
        <w:rPr>
          <w:rFonts w:hint="eastAsia" w:eastAsia="宋体"/>
          <w:sz w:val="22"/>
          <w:szCs w:val="22"/>
          <w:lang w:val="en-US" w:eastAsia="zh-CN"/>
        </w:rPr>
        <w:t>RRC_INACTIVE and RRC_IDLE states</w:t>
      </w:r>
      <w:r>
        <w:rPr>
          <w:rFonts w:hint="eastAsia"/>
          <w:bCs/>
          <w:color w:val="auto"/>
          <w:highlight w:val="none"/>
          <w:lang w:val="en-US" w:eastAsia="zh-CN"/>
        </w:rPr>
        <w:t xml:space="preserve">. </w:t>
      </w:r>
    </w:p>
    <w:p>
      <w:pPr>
        <w:spacing w:after="0"/>
        <w:ind w:left="720"/>
        <w:rPr>
          <w:rFonts w:hint="eastAsia"/>
          <w:bCs/>
          <w:color w:val="auto"/>
          <w:highlight w:val="none"/>
          <w:lang w:val="en-US" w:eastAsia="zh-CN"/>
        </w:rPr>
      </w:pPr>
      <w:r>
        <w:rPr>
          <w:rFonts w:hint="eastAsia"/>
          <w:b/>
          <w:bCs w:val="0"/>
          <w:color w:val="auto"/>
          <w:highlight w:val="none"/>
          <w:lang w:val="en-US" w:eastAsia="zh-CN"/>
        </w:rPr>
        <w:t>Option 2</w:t>
      </w:r>
      <w:r>
        <w:rPr>
          <w:rFonts w:hint="eastAsia"/>
          <w:bCs/>
          <w:color w:val="auto"/>
          <w:highlight w:val="none"/>
          <w:lang w:val="en-US" w:eastAsia="zh-CN"/>
        </w:rPr>
        <w:t xml:space="preserve">: Indicates that the currently configured QoE configuration information is also applicable to </w:t>
      </w:r>
      <w:r>
        <w:rPr>
          <w:rFonts w:hint="eastAsia" w:eastAsia="宋体"/>
          <w:sz w:val="22"/>
          <w:szCs w:val="22"/>
          <w:lang w:val="en-US" w:eastAsia="zh-CN"/>
        </w:rPr>
        <w:t>RRC_INACTIVE and RRC_IDLE states</w:t>
      </w:r>
      <w:r>
        <w:rPr>
          <w:rFonts w:hint="eastAsia"/>
          <w:bCs/>
          <w:color w:val="auto"/>
          <w:highlight w:val="none"/>
          <w:lang w:val="en-US" w:eastAsia="zh-CN"/>
        </w:rPr>
        <w:t xml:space="preserve"> by default or an indication information. </w:t>
      </w:r>
    </w:p>
    <w:p>
      <w:pPr>
        <w:spacing w:before="120" w:after="120" w:line="260" w:lineRule="auto"/>
        <w:jc w:val="both"/>
        <w:rPr>
          <w:rFonts w:hint="eastAsia" w:eastAsia="宋体"/>
          <w:sz w:val="22"/>
          <w:szCs w:val="22"/>
          <w:lang w:val="en-US" w:eastAsia="zh-CN"/>
        </w:rPr>
      </w:pPr>
      <w:r>
        <w:rPr>
          <w:rFonts w:hint="eastAsia"/>
          <w:bCs/>
          <w:color w:val="auto"/>
          <w:highlight w:val="none"/>
          <w:lang w:val="en-US" w:eastAsia="zh-CN"/>
        </w:rPr>
        <w:t xml:space="preserve">Among the above methods, </w:t>
      </w:r>
      <w:r>
        <w:rPr>
          <w:rFonts w:hint="eastAsia"/>
          <w:b/>
          <w:bCs w:val="0"/>
          <w:color w:val="auto"/>
          <w:highlight w:val="none"/>
          <w:lang w:val="en-US" w:eastAsia="zh-CN"/>
        </w:rPr>
        <w:t xml:space="preserve">Option 2 </w:t>
      </w:r>
      <w:r>
        <w:rPr>
          <w:rFonts w:hint="eastAsia"/>
          <w:bCs/>
          <w:color w:val="auto"/>
          <w:highlight w:val="none"/>
          <w:lang w:val="en-US" w:eastAsia="zh-CN"/>
        </w:rPr>
        <w:t xml:space="preserve">has the least impact on the protocol. However, considering that the services of QoE measurement in CONNECTED state and Non-CONNECTED state may be different, it is necessary to configure the QoE </w:t>
      </w:r>
      <w:r>
        <w:rPr>
          <w:rFonts w:hint="eastAsia" w:eastAsia="宋体"/>
          <w:sz w:val="22"/>
          <w:szCs w:val="22"/>
          <w:lang w:val="en-US" w:eastAsia="zh-CN"/>
        </w:rPr>
        <w:t>measurement</w:t>
      </w:r>
      <w:r>
        <w:rPr>
          <w:rFonts w:hint="eastAsia"/>
          <w:bCs/>
          <w:color w:val="auto"/>
          <w:highlight w:val="none"/>
          <w:lang w:val="en-US" w:eastAsia="zh-CN"/>
        </w:rPr>
        <w:t xml:space="preserve"> information of Non-CONNECTED state through </w:t>
      </w:r>
      <w:r>
        <w:rPr>
          <w:rFonts w:hint="eastAsia"/>
          <w:b/>
          <w:bCs w:val="0"/>
          <w:color w:val="auto"/>
          <w:highlight w:val="none"/>
          <w:lang w:val="en-US" w:eastAsia="zh-CN"/>
        </w:rPr>
        <w:t xml:space="preserve">Option 1. </w:t>
      </w:r>
      <w:r>
        <w:rPr>
          <w:rFonts w:hint="eastAsia" w:eastAsia="宋体"/>
          <w:sz w:val="22"/>
          <w:szCs w:val="22"/>
          <w:lang w:val="en-US" w:eastAsia="zh-CN"/>
        </w:rPr>
        <w:t>Therefore, we believe that it</w:t>
      </w:r>
      <w:r>
        <w:rPr>
          <w:rFonts w:hint="default" w:eastAsia="宋体"/>
          <w:sz w:val="22"/>
          <w:szCs w:val="22"/>
          <w:lang w:val="en-US" w:eastAsia="zh-CN"/>
        </w:rPr>
        <w:t>’</w:t>
      </w:r>
      <w:r>
        <w:rPr>
          <w:rFonts w:hint="eastAsia" w:eastAsia="宋体"/>
          <w:sz w:val="22"/>
          <w:szCs w:val="22"/>
          <w:lang w:val="en-US" w:eastAsia="zh-CN"/>
        </w:rPr>
        <w:t xml:space="preserve">s necessary to discuss how gNB configures QoE measurement information based on the above two methods. </w:t>
      </w:r>
    </w:p>
    <w:p>
      <w:pPr>
        <w:spacing w:before="120" w:after="120" w:line="260" w:lineRule="auto"/>
        <w:jc w:val="both"/>
        <w:rPr>
          <w:rFonts w:hint="eastAsia"/>
          <w:b/>
          <w:bCs/>
          <w:lang w:val="en-US" w:eastAsia="zh-CN"/>
        </w:rPr>
      </w:pPr>
      <w:r>
        <w:rPr>
          <w:b/>
          <w:bCs/>
        </w:rPr>
        <w:t>Proposa</w:t>
      </w:r>
      <w:r>
        <w:rPr>
          <w:rFonts w:hint="eastAsia"/>
          <w:b/>
          <w:bCs/>
          <w:lang w:val="en-US" w:eastAsia="zh-CN"/>
        </w:rPr>
        <w:t>l 3</w:t>
      </w:r>
      <w:r>
        <w:rPr>
          <w:b/>
          <w:bCs/>
        </w:rPr>
        <w:t>:</w:t>
      </w:r>
      <w:r>
        <w:rPr>
          <w:rFonts w:hint="eastAsia" w:eastAsia="SimSun"/>
          <w:b/>
          <w:bCs/>
          <w:lang w:val="en-US" w:eastAsia="zh-CN"/>
        </w:rPr>
        <w:t xml:space="preserve"> </w:t>
      </w:r>
      <w:r>
        <w:rPr>
          <w:rFonts w:hint="eastAsia"/>
          <w:b/>
          <w:bCs/>
          <w:lang w:val="en-US" w:eastAsia="zh-CN"/>
        </w:rPr>
        <w:t>It</w:t>
      </w:r>
      <w:r>
        <w:rPr>
          <w:rFonts w:hint="default"/>
          <w:b/>
          <w:bCs/>
          <w:lang w:val="en-US" w:eastAsia="zh-CN"/>
        </w:rPr>
        <w:t>’</w:t>
      </w:r>
      <w:r>
        <w:rPr>
          <w:rFonts w:hint="eastAsia"/>
          <w:b/>
          <w:bCs/>
          <w:lang w:val="en-US" w:eastAsia="zh-CN"/>
        </w:rPr>
        <w:t>s suggested that the method of configuring QoE measurement information be discussed based on Option 1 and 2 in the MBS service.</w:t>
      </w:r>
    </w:p>
    <w:p>
      <w:pPr>
        <w:spacing w:before="120" w:after="120" w:line="260" w:lineRule="auto"/>
        <w:jc w:val="both"/>
        <w:rPr>
          <w:rFonts w:hint="eastAsia"/>
          <w:b/>
          <w:bCs/>
          <w:lang w:val="en-US" w:eastAsia="zh-CN"/>
        </w:rPr>
      </w:pPr>
    </w:p>
    <w:p>
      <w:pPr>
        <w:spacing w:before="120" w:after="120" w:line="260" w:lineRule="auto"/>
        <w:jc w:val="both"/>
        <w:rPr>
          <w:rFonts w:hint="default" w:ascii="Times New Roman" w:hAnsi="Times New Roman" w:eastAsia="宋体"/>
          <w:b/>
          <w:bCs/>
          <w:szCs w:val="21"/>
          <w:u w:val="single"/>
          <w:lang w:val="en-US" w:eastAsia="zh-CN"/>
        </w:rPr>
      </w:pPr>
      <w:r>
        <w:rPr>
          <w:rFonts w:hint="eastAsia" w:eastAsia="宋体"/>
          <w:b/>
          <w:bCs/>
          <w:szCs w:val="21"/>
          <w:u w:val="single"/>
          <w:lang w:val="en-US" w:eastAsia="zh-CN"/>
        </w:rPr>
        <w:t>Reporting</w:t>
      </w:r>
    </w:p>
    <w:p>
      <w:pPr>
        <w:spacing w:before="120" w:after="120" w:line="260" w:lineRule="auto"/>
        <w:jc w:val="both"/>
        <w:rPr>
          <w:rFonts w:hint="eastAsia" w:eastAsia="宋体"/>
          <w:sz w:val="22"/>
          <w:szCs w:val="22"/>
          <w:lang w:val="en-US" w:eastAsia="zh-CN"/>
        </w:rPr>
      </w:pPr>
      <w:r>
        <w:rPr>
          <w:rFonts w:hint="eastAsia" w:eastAsia="宋体"/>
          <w:sz w:val="22"/>
          <w:szCs w:val="22"/>
          <w:lang w:val="en-US" w:eastAsia="zh-CN"/>
        </w:rPr>
        <w:t>In the case of QoE measurement including legacy QoE and RVQoE, the QoE measurement reporting of MBS service in Non-CONNECTED state needs to be reported based on the service requirement analysis.</w:t>
      </w:r>
    </w:p>
    <w:p>
      <w:pPr>
        <w:spacing w:before="120" w:after="120" w:line="260" w:lineRule="auto"/>
        <w:ind w:leftChars="100"/>
        <w:jc w:val="both"/>
        <w:rPr>
          <w:rFonts w:hint="eastAsia" w:cs="Times New Roman"/>
          <w:bCs/>
          <w:lang w:val="en-US" w:eastAsia="zh-CN"/>
        </w:rPr>
      </w:pPr>
      <w:r>
        <w:rPr>
          <w:rFonts w:hint="eastAsia" w:eastAsia="宋体"/>
          <w:sz w:val="22"/>
          <w:szCs w:val="22"/>
          <w:lang w:val="en-US" w:eastAsia="zh-CN"/>
        </w:rPr>
        <w:t>-For</w:t>
      </w:r>
      <w:r>
        <w:rPr>
          <w:rFonts w:hint="eastAsia" w:cs="Times New Roman"/>
          <w:bCs/>
          <w:lang w:val="en-US" w:eastAsia="zh-CN"/>
        </w:rPr>
        <w:t xml:space="preserve"> legacy QOE, its real-time requirement is not high, and it does not need RAN real-time processing. The gNB only needs to forward it to MCE after receiving the </w:t>
      </w:r>
      <w:r>
        <w:rPr>
          <w:rFonts w:hint="eastAsia" w:eastAsia="宋体"/>
          <w:sz w:val="22"/>
          <w:szCs w:val="22"/>
          <w:lang w:val="en-US" w:eastAsia="zh-CN"/>
        </w:rPr>
        <w:t>measurement reporting</w:t>
      </w:r>
      <w:r>
        <w:rPr>
          <w:rFonts w:hint="eastAsia" w:cs="Times New Roman"/>
          <w:bCs/>
          <w:lang w:val="en-US" w:eastAsia="zh-CN"/>
        </w:rPr>
        <w:t xml:space="preserve">. Therefore, in the Non-CONNECTED state, the measurement reporting stored in UE can be uploaded after the UE enters the CONNECTED state. </w:t>
      </w:r>
    </w:p>
    <w:p>
      <w:pPr>
        <w:spacing w:after="120" w:afterLines="50"/>
        <w:ind w:leftChars="100"/>
        <w:jc w:val="both"/>
        <w:rPr>
          <w:rFonts w:hint="eastAsia" w:cs="Times New Roman"/>
          <w:bCs/>
          <w:lang w:val="en-US" w:eastAsia="zh-CN"/>
        </w:rPr>
      </w:pPr>
      <w:r>
        <w:rPr>
          <w:rFonts w:hint="eastAsia" w:cs="Times New Roman"/>
          <w:bCs/>
          <w:lang w:val="en-US" w:eastAsia="zh-CN"/>
        </w:rPr>
        <w:t>-For RVQoE, its real-time requirement is high, and gNB needs to do some real-time optimization scheduling according to the received RVQoE measurement reporting. Therefore, in the Non-CONNECTED state, UE may need to upload the QoE measurement reporting to gNB in time.</w:t>
      </w:r>
    </w:p>
    <w:p>
      <w:pPr>
        <w:spacing w:after="120" w:afterLines="50"/>
        <w:jc w:val="both"/>
        <w:rPr>
          <w:rFonts w:hint="eastAsia" w:cs="Times New Roman"/>
          <w:bCs/>
          <w:lang w:val="en-US" w:eastAsia="zh-CN"/>
        </w:rPr>
      </w:pPr>
      <w:r>
        <w:rPr>
          <w:rFonts w:hint="eastAsia" w:cs="Times New Roman"/>
          <w:bCs/>
          <w:lang w:val="en-US" w:eastAsia="zh-CN"/>
        </w:rPr>
        <w:t>Based on the above analysis, according to the different real-time requirements, we think that it</w:t>
      </w:r>
      <w:r>
        <w:rPr>
          <w:rFonts w:hint="default" w:cs="Times New Roman"/>
          <w:bCs/>
          <w:lang w:val="en-US" w:eastAsia="zh-CN"/>
        </w:rPr>
        <w:t>’</w:t>
      </w:r>
      <w:r>
        <w:rPr>
          <w:rFonts w:hint="eastAsia" w:cs="Times New Roman"/>
          <w:bCs/>
          <w:lang w:val="en-US" w:eastAsia="zh-CN"/>
        </w:rPr>
        <w:t>s necessary for legacy QoE and RVQoE to report measurement reporting differently. Therefore, we first need to discuss whether legacy QoE and RVQoE need to upload measurement reporting in different methods, and if so, the reporting methods of QoE measurement in two scenarios is further discussed based on real-time requirements.</w:t>
      </w:r>
    </w:p>
    <w:p>
      <w:pPr>
        <w:spacing w:before="120" w:after="120" w:line="260" w:lineRule="auto"/>
        <w:jc w:val="both"/>
        <w:rPr>
          <w:rFonts w:hint="eastAsia"/>
          <w:b/>
          <w:bCs/>
          <w:lang w:val="en-US" w:eastAsia="zh-CN"/>
        </w:rPr>
      </w:pPr>
      <w:r>
        <w:rPr>
          <w:b/>
          <w:bCs/>
        </w:rPr>
        <w:t>Proposa</w:t>
      </w:r>
      <w:r>
        <w:rPr>
          <w:rFonts w:hint="eastAsia"/>
          <w:b/>
          <w:bCs/>
          <w:lang w:val="en-US" w:eastAsia="zh-CN"/>
        </w:rPr>
        <w:t>l 4</w:t>
      </w:r>
      <w:r>
        <w:rPr>
          <w:b/>
          <w:bCs/>
        </w:rPr>
        <w:t>:</w:t>
      </w:r>
      <w:r>
        <w:rPr>
          <w:rFonts w:hint="eastAsia" w:eastAsia="SimSun"/>
          <w:b/>
          <w:bCs/>
          <w:lang w:val="en-US" w:eastAsia="zh-CN"/>
        </w:rPr>
        <w:t xml:space="preserve"> </w:t>
      </w:r>
      <w:r>
        <w:rPr>
          <w:rFonts w:hint="eastAsia"/>
          <w:b/>
          <w:bCs/>
          <w:lang w:val="en-US" w:eastAsia="zh-CN"/>
        </w:rPr>
        <w:t>It</w:t>
      </w:r>
      <w:r>
        <w:rPr>
          <w:rFonts w:hint="default"/>
          <w:b/>
          <w:bCs/>
          <w:lang w:val="en-US" w:eastAsia="zh-CN"/>
        </w:rPr>
        <w:t>’</w:t>
      </w:r>
      <w:r>
        <w:rPr>
          <w:rFonts w:hint="eastAsia"/>
          <w:b/>
          <w:bCs/>
          <w:lang w:val="en-US" w:eastAsia="zh-CN"/>
        </w:rPr>
        <w:t>s suggested to discuss whether legacy QoE and RVQoE need to report measurement reporting in different methods, and if so, discuss the QoE measurement reporting method based on real-time requirements.</w:t>
      </w:r>
    </w:p>
    <w:p>
      <w:pPr>
        <w:rPr>
          <w:color w:val="FF0000"/>
        </w:rPr>
      </w:pPr>
      <w:bookmarkStart w:id="0" w:name="OLE_LINK2"/>
    </w:p>
    <w:p>
      <w:pPr>
        <w:pStyle w:val="3"/>
        <w:spacing w:line="360" w:lineRule="auto"/>
      </w:pPr>
      <w:r>
        <w:rPr>
          <w:rStyle w:val="25"/>
          <w:rFonts w:hint="eastAsia" w:ascii="Arial" w:hAnsi="Arial" w:eastAsia="宋体" w:cs="Arial"/>
          <w:b/>
          <w:bCs/>
          <w:color w:val="auto"/>
          <w:lang w:val="en-US" w:eastAsia="zh-CN"/>
        </w:rPr>
        <w:t>QoE in NR-DC</w:t>
      </w:r>
    </w:p>
    <w:p>
      <w:pPr>
        <w:spacing w:before="120" w:after="120" w:line="260" w:lineRule="auto"/>
        <w:jc w:val="both"/>
        <w:rPr>
          <w:rFonts w:hint="eastAsia" w:ascii="Times New Roman" w:hAnsi="Times New Roman" w:eastAsia="宋体"/>
          <w:b/>
          <w:bCs/>
          <w:szCs w:val="21"/>
          <w:u w:val="single"/>
          <w:lang w:val="en-US" w:eastAsia="zh-CN"/>
        </w:rPr>
      </w:pPr>
      <w:r>
        <w:rPr>
          <w:rFonts w:hint="eastAsia" w:eastAsia="宋体"/>
          <w:b/>
          <w:bCs/>
          <w:szCs w:val="21"/>
          <w:u w:val="single"/>
          <w:lang w:val="en-US" w:eastAsia="zh-CN"/>
        </w:rPr>
        <w:t>QoE configuration over MN/SN</w:t>
      </w:r>
    </w:p>
    <w:p>
      <w:pPr>
        <w:spacing w:after="120" w:afterLines="50"/>
        <w:jc w:val="both"/>
        <w:rPr>
          <w:rFonts w:hint="eastAsia" w:ascii="Times New Roman" w:hAnsi="Times New Roman" w:cs="Times New Roman"/>
          <w:bCs/>
          <w:lang w:val="en-US" w:eastAsia="zh-CN"/>
        </w:rPr>
      </w:pPr>
      <w:r>
        <w:rPr>
          <w:rFonts w:hint="eastAsia" w:ascii="Times New Roman" w:hAnsi="Times New Roman" w:cs="Times New Roman"/>
          <w:bCs/>
          <w:lang w:val="en-US" w:eastAsia="zh-CN"/>
        </w:rPr>
        <w:t>In the NR-DC scenario,</w:t>
      </w:r>
      <w:r>
        <w:rPr>
          <w:rFonts w:hint="eastAsia" w:cs="Times New Roman"/>
          <w:bCs/>
          <w:lang w:val="en-US" w:eastAsia="zh-CN"/>
        </w:rPr>
        <w:t xml:space="preserve"> since</w:t>
      </w:r>
      <w:r>
        <w:rPr>
          <w:rFonts w:hint="eastAsia" w:ascii="Times New Roman" w:hAnsi="Times New Roman" w:cs="Times New Roman"/>
          <w:bCs/>
          <w:lang w:val="en-US" w:eastAsia="zh-CN"/>
        </w:rPr>
        <w:t xml:space="preserve"> both MN and SN can obtain the QoE configuration information provided by the core network, it is necessary to clarify whether the QoE configuration information can only be provided </w:t>
      </w:r>
      <w:r>
        <w:rPr>
          <w:rFonts w:hint="eastAsia" w:cs="Times New Roman"/>
          <w:bCs/>
          <w:lang w:val="en-US" w:eastAsia="zh-CN"/>
        </w:rPr>
        <w:t>by</w:t>
      </w:r>
      <w:r>
        <w:rPr>
          <w:rFonts w:hint="eastAsia" w:ascii="Times New Roman" w:hAnsi="Times New Roman" w:cs="Times New Roman"/>
          <w:bCs/>
          <w:lang w:val="en-US" w:eastAsia="zh-CN"/>
        </w:rPr>
        <w:t xml:space="preserve"> MN before discussing the Q</w:t>
      </w:r>
      <w:r>
        <w:rPr>
          <w:rFonts w:hint="eastAsia" w:cs="Times New Roman"/>
          <w:bCs/>
          <w:lang w:val="en-US" w:eastAsia="zh-CN"/>
        </w:rPr>
        <w:t>o</w:t>
      </w:r>
      <w:r>
        <w:rPr>
          <w:rFonts w:hint="eastAsia" w:ascii="Times New Roman" w:hAnsi="Times New Roman" w:cs="Times New Roman"/>
          <w:bCs/>
          <w:lang w:val="en-US" w:eastAsia="zh-CN"/>
        </w:rPr>
        <w:t>E measurement configuration</w:t>
      </w:r>
      <w:r>
        <w:rPr>
          <w:rFonts w:hint="eastAsia" w:cs="Times New Roman"/>
          <w:bCs/>
          <w:lang w:val="en-US" w:eastAsia="zh-CN"/>
        </w:rPr>
        <w:t xml:space="preserve"> </w:t>
      </w:r>
      <w:r>
        <w:rPr>
          <w:rFonts w:hint="eastAsia" w:ascii="Times New Roman" w:hAnsi="Times New Roman" w:cs="Times New Roman"/>
          <w:bCs/>
          <w:lang w:val="en-US" w:eastAsia="zh-CN"/>
        </w:rPr>
        <w:t xml:space="preserve">method of </w:t>
      </w:r>
      <w:r>
        <w:rPr>
          <w:rFonts w:hint="eastAsia" w:cs="Times New Roman"/>
          <w:bCs/>
          <w:lang w:val="en-US" w:eastAsia="zh-CN"/>
        </w:rPr>
        <w:t>UE</w:t>
      </w:r>
      <w:r>
        <w:rPr>
          <w:rFonts w:hint="eastAsia" w:ascii="Times New Roman" w:hAnsi="Times New Roman" w:cs="Times New Roman"/>
          <w:bCs/>
          <w:lang w:val="en-US" w:eastAsia="zh-CN"/>
        </w:rPr>
        <w:t>. In the case that QoE configuration information is only provided by MN to UE, if SN receives QoE configuration information provided by core network or SN wishes to initiate RVQ</w:t>
      </w:r>
      <w:r>
        <w:rPr>
          <w:rFonts w:hint="eastAsia" w:cs="Times New Roman"/>
          <w:bCs/>
          <w:lang w:val="en-US" w:eastAsia="zh-CN"/>
        </w:rPr>
        <w:t>o</w:t>
      </w:r>
      <w:r>
        <w:rPr>
          <w:rFonts w:hint="eastAsia" w:ascii="Times New Roman" w:hAnsi="Times New Roman" w:cs="Times New Roman"/>
          <w:bCs/>
          <w:lang w:val="en-US" w:eastAsia="zh-CN"/>
        </w:rPr>
        <w:t>E measurement, SN needs to forward QoE configuration information from MN to UE.</w:t>
      </w:r>
      <w:r>
        <w:rPr>
          <w:rFonts w:hint="eastAsia" w:cs="Times New Roman"/>
          <w:bCs/>
          <w:lang w:val="en-US" w:eastAsia="zh-CN"/>
        </w:rPr>
        <w:t xml:space="preserve"> </w:t>
      </w:r>
      <w:r>
        <w:rPr>
          <w:rFonts w:hint="eastAsia" w:ascii="Times New Roman" w:hAnsi="Times New Roman" w:cs="Times New Roman"/>
          <w:bCs/>
          <w:lang w:val="en-US" w:eastAsia="zh-CN"/>
        </w:rPr>
        <w:t>If QoE configuration information is provided to UE by MN or SN, then MN and SN need to negotiate who provides QoE configuration information.</w:t>
      </w:r>
      <w:r>
        <w:rPr>
          <w:rFonts w:hint="eastAsia" w:cs="Times New Roman"/>
          <w:bCs/>
          <w:lang w:val="en-US" w:eastAsia="zh-CN"/>
        </w:rPr>
        <w:t xml:space="preserve"> </w:t>
      </w:r>
      <w:r>
        <w:rPr>
          <w:rFonts w:hint="eastAsia" w:ascii="Times New Roman" w:hAnsi="Times New Roman" w:cs="Times New Roman"/>
          <w:bCs/>
          <w:lang w:val="en-US" w:eastAsia="zh-CN"/>
        </w:rPr>
        <w:t xml:space="preserve">In our understanding, it is necessary to clarify the configuration method of QoE measurement information before discussing the information contained in QoE measurement configuration. </w:t>
      </w:r>
    </w:p>
    <w:p>
      <w:pPr>
        <w:spacing w:after="120" w:afterLines="50"/>
        <w:ind w:left="0" w:leftChars="0"/>
        <w:jc w:val="both"/>
        <w:rPr>
          <w:rFonts w:hint="eastAsia"/>
          <w:b/>
          <w:bCs/>
          <w:lang w:val="en-US" w:eastAsia="zh-CN"/>
        </w:rPr>
      </w:pPr>
      <w:r>
        <w:rPr>
          <w:b/>
          <w:bCs/>
        </w:rPr>
        <w:t>Observation</w:t>
      </w:r>
      <w:r>
        <w:rPr>
          <w:rFonts w:hint="eastAsia" w:eastAsia="SimSun"/>
          <w:b/>
          <w:bCs/>
          <w:lang w:val="en-US" w:eastAsia="zh-CN"/>
        </w:rPr>
        <w:t xml:space="preserve"> 1</w:t>
      </w:r>
      <w:r>
        <w:rPr>
          <w:b/>
          <w:bCs/>
        </w:rPr>
        <w:t>:</w:t>
      </w:r>
      <w:r>
        <w:rPr>
          <w:rFonts w:hint="eastAsia" w:ascii="Times New Roman" w:hAnsi="Times New Roman" w:cs="Times New Roman"/>
          <w:bCs/>
          <w:lang w:val="en-US" w:eastAsia="zh-CN"/>
        </w:rPr>
        <w:t xml:space="preserve"> </w:t>
      </w:r>
      <w:r>
        <w:rPr>
          <w:rFonts w:hint="eastAsia"/>
          <w:b/>
          <w:bCs/>
          <w:lang w:val="en-US" w:eastAsia="zh-CN"/>
        </w:rPr>
        <w:t>Before discussing the information contained in the QoE measurement configuration, the configuration method of QoE measurement (MN and/or SN) needs to be clarified.</w:t>
      </w:r>
    </w:p>
    <w:p>
      <w:pPr>
        <w:spacing w:before="120" w:after="120" w:line="260" w:lineRule="auto"/>
        <w:jc w:val="both"/>
        <w:rPr>
          <w:rFonts w:hint="eastAsia" w:eastAsia="宋体"/>
          <w:b/>
          <w:bCs/>
          <w:szCs w:val="21"/>
          <w:u w:val="single"/>
          <w:lang w:val="en-US" w:eastAsia="zh-CN"/>
        </w:rPr>
      </w:pPr>
    </w:p>
    <w:p>
      <w:pPr>
        <w:spacing w:before="120" w:after="120" w:line="260" w:lineRule="auto"/>
        <w:jc w:val="both"/>
        <w:rPr>
          <w:rFonts w:hint="eastAsia" w:cs="Times New Roman"/>
          <w:bCs/>
          <w:lang w:val="en-US" w:eastAsia="zh-CN"/>
        </w:rPr>
      </w:pPr>
      <w:r>
        <w:rPr>
          <w:rFonts w:hint="eastAsia" w:eastAsia="宋体"/>
          <w:b/>
          <w:bCs/>
          <w:szCs w:val="21"/>
          <w:u w:val="single"/>
          <w:lang w:val="en-US" w:eastAsia="zh-CN"/>
        </w:rPr>
        <w:t>QoE measurement reporting over MN/SN</w:t>
      </w:r>
    </w:p>
    <w:p>
      <w:pPr>
        <w:spacing w:after="120" w:afterLines="50"/>
        <w:jc w:val="both"/>
        <w:rPr>
          <w:rFonts w:hint="default" w:cs="Times New Roman"/>
          <w:bCs/>
          <w:lang w:val="en-US" w:eastAsia="zh-CN"/>
        </w:rPr>
      </w:pPr>
      <w:r>
        <w:rPr>
          <w:rFonts w:hint="eastAsia" w:cs="Times New Roman"/>
          <w:bCs/>
          <w:lang w:val="en-US" w:eastAsia="zh-CN"/>
        </w:rPr>
        <w:t>For QoE measurement reporting, it has the same problem as the QoE measurement configuration, that is, QoE reporting is received only by MN, or both MN and SN can receive the QoE reporting. Therefore, the above reporting method may be affected by the configuration method of the QoE measurement information. In other words, if only QoE configuration information is provided by MN, only MN can receive QoE reporting. Therefore, we think that there may be a certain correlation between the reporting method and the configuration method of QoE.</w:t>
      </w:r>
    </w:p>
    <w:p>
      <w:pPr>
        <w:spacing w:after="120" w:afterLines="50"/>
        <w:ind w:left="0" w:leftChars="0"/>
        <w:jc w:val="both"/>
        <w:rPr>
          <w:rFonts w:hint="eastAsia"/>
          <w:b/>
          <w:bCs/>
          <w:lang w:val="en-US" w:eastAsia="zh-CN"/>
        </w:rPr>
      </w:pPr>
      <w:r>
        <w:rPr>
          <w:b/>
          <w:bCs/>
        </w:rPr>
        <w:t>Observation</w:t>
      </w:r>
      <w:r>
        <w:rPr>
          <w:rFonts w:hint="eastAsia" w:eastAsia="SimSun"/>
          <w:b/>
          <w:bCs/>
          <w:lang w:val="en-US" w:eastAsia="zh-CN"/>
        </w:rPr>
        <w:t xml:space="preserve"> 2</w:t>
      </w:r>
      <w:r>
        <w:rPr>
          <w:b/>
          <w:bCs/>
        </w:rPr>
        <w:t>:</w:t>
      </w:r>
      <w:r>
        <w:rPr>
          <w:rFonts w:hint="eastAsia" w:eastAsia="SimSun"/>
          <w:b/>
          <w:bCs/>
          <w:lang w:val="en-US" w:eastAsia="zh-CN"/>
        </w:rPr>
        <w:t xml:space="preserve"> </w:t>
      </w:r>
      <w:r>
        <w:rPr>
          <w:rFonts w:hint="eastAsia"/>
          <w:b/>
          <w:bCs/>
          <w:lang w:val="en-US" w:eastAsia="zh-CN"/>
        </w:rPr>
        <w:t xml:space="preserve">There may be a certain correlation between the reporting method and the configuration method of QoE. </w:t>
      </w:r>
    </w:p>
    <w:p>
      <w:pPr>
        <w:spacing w:after="120" w:afterLines="50"/>
        <w:jc w:val="both"/>
        <w:rPr>
          <w:rFonts w:hint="eastAsia" w:cs="Times New Roman"/>
          <w:bCs/>
          <w:lang w:val="en-US" w:eastAsia="zh-CN"/>
        </w:rPr>
      </w:pPr>
      <w:r>
        <w:rPr>
          <w:rFonts w:hint="eastAsia" w:cs="Times New Roman"/>
          <w:bCs/>
          <w:lang w:val="en-US" w:eastAsia="zh-CN"/>
        </w:rPr>
        <w:t xml:space="preserve">Furthermore, the MCG SRB (Signaling Radio Bearer) in DC scenario supports SRB1 and SRB2 transmission, and SCG SRB supports SRB3 transmission in the current protocol. Among them, in the single connection scenario, since the priority of QoE measurement reporting is relatively low, the QoE measurement reporting separately introduces SRB4 with low priority to transmit the above reporting. Therefore, in discussing the reporting method, the RAN side also needs to clarify the SRB used by MN (if supported) and the SRB used by SN (if supported), e.g., MN supports the transmission of QoE reporting over SBR4, and SN supports the transmission of QoE reporting over SBR3. </w:t>
      </w:r>
    </w:p>
    <w:p>
      <w:pPr>
        <w:spacing w:after="120" w:afterLines="50"/>
        <w:ind w:left="0" w:leftChars="0"/>
        <w:jc w:val="both"/>
        <w:rPr>
          <w:rFonts w:hint="eastAsia"/>
          <w:b/>
          <w:bCs/>
          <w:lang w:val="en-US" w:eastAsia="zh-CN"/>
        </w:rPr>
      </w:pPr>
      <w:r>
        <w:rPr>
          <w:rFonts w:hint="eastAsia"/>
          <w:b/>
          <w:bCs/>
          <w:lang w:val="en-US" w:eastAsia="zh-CN"/>
        </w:rPr>
        <w:t xml:space="preserve">Observation 3: The SRB used by MN and SN needs to be clarified before discussing the reporting method. </w:t>
      </w:r>
    </w:p>
    <w:p>
      <w:pPr>
        <w:spacing w:before="120" w:after="120" w:line="260" w:lineRule="auto"/>
        <w:jc w:val="both"/>
        <w:rPr>
          <w:rFonts w:hint="eastAsia"/>
          <w:b/>
          <w:bCs/>
          <w:lang w:val="en-US" w:eastAsia="zh-CN"/>
        </w:rPr>
      </w:pPr>
      <w:r>
        <w:rPr>
          <w:b/>
          <w:bCs/>
        </w:rPr>
        <w:t>Proposa</w:t>
      </w:r>
      <w:r>
        <w:rPr>
          <w:rFonts w:hint="eastAsia"/>
          <w:b/>
          <w:bCs/>
          <w:lang w:val="en-US" w:eastAsia="zh-CN"/>
        </w:rPr>
        <w:t>l 5</w:t>
      </w:r>
      <w:r>
        <w:rPr>
          <w:b/>
          <w:bCs/>
        </w:rPr>
        <w:t>:</w:t>
      </w:r>
      <w:r>
        <w:rPr>
          <w:rFonts w:hint="eastAsia" w:eastAsia="SimSun"/>
          <w:b/>
          <w:bCs/>
          <w:lang w:val="en-US" w:eastAsia="zh-CN"/>
        </w:rPr>
        <w:t xml:space="preserve"> </w:t>
      </w:r>
      <w:r>
        <w:rPr>
          <w:rFonts w:hint="eastAsia"/>
          <w:b/>
          <w:bCs/>
          <w:lang w:val="en-US" w:eastAsia="zh-CN"/>
        </w:rPr>
        <w:t>It</w:t>
      </w:r>
      <w:r>
        <w:rPr>
          <w:rFonts w:hint="default"/>
          <w:b/>
          <w:bCs/>
          <w:lang w:val="en-US" w:eastAsia="zh-CN"/>
        </w:rPr>
        <w:t>’</w:t>
      </w:r>
      <w:r>
        <w:rPr>
          <w:rFonts w:hint="eastAsia"/>
          <w:b/>
          <w:bCs/>
          <w:lang w:val="en-US" w:eastAsia="zh-CN"/>
        </w:rPr>
        <w:t>s suggested to discuss the configuration method (MN and/or SN) of QoE measurement information, and analyze the reporting method and SRB based on the above configuration method.</w:t>
      </w:r>
    </w:p>
    <w:p>
      <w:pPr>
        <w:rPr>
          <w:color w:val="FF0000"/>
        </w:rPr>
      </w:pPr>
    </w:p>
    <w:p>
      <w:pPr>
        <w:pStyle w:val="3"/>
        <w:spacing w:line="360" w:lineRule="auto"/>
        <w:rPr>
          <w:rStyle w:val="25"/>
          <w:rFonts w:hint="eastAsia" w:ascii="Arial" w:hAnsi="Arial" w:eastAsia="宋体" w:cs="Arial"/>
          <w:b/>
          <w:bCs/>
          <w:color w:val="auto"/>
          <w:lang w:val="en-US" w:eastAsia="zh-CN"/>
        </w:rPr>
      </w:pPr>
      <w:r>
        <w:rPr>
          <w:rStyle w:val="25"/>
          <w:rFonts w:hint="eastAsia" w:ascii="Arial" w:hAnsi="Arial" w:eastAsia="宋体" w:cs="Arial"/>
          <w:b/>
          <w:bCs/>
          <w:color w:val="auto"/>
          <w:lang w:val="en-US" w:eastAsia="zh-CN"/>
        </w:rPr>
        <w:t>Continuity of legacy QoE measurement</w:t>
      </w:r>
    </w:p>
    <w:p>
      <w:pPr>
        <w:spacing w:after="120" w:afterLines="50"/>
        <w:jc w:val="both"/>
        <w:rPr>
          <w:rFonts w:hint="default" w:ascii="Times New Roman" w:hAnsi="Times New Roman" w:cs="Times New Roman"/>
          <w:bCs/>
          <w:lang w:val="en-US" w:eastAsia="zh-CN"/>
        </w:rPr>
      </w:pPr>
      <w:r>
        <w:rPr>
          <w:rFonts w:hint="eastAsia" w:ascii="Times New Roman" w:hAnsi="Times New Roman" w:cs="Times New Roman"/>
          <w:bCs/>
          <w:lang w:val="en-US" w:eastAsia="zh-CN"/>
        </w:rPr>
        <w:t xml:space="preserve">In the intra-5GC inter-RAT handover process, </w:t>
      </w:r>
      <w:r>
        <w:rPr>
          <w:rFonts w:hint="eastAsia" w:cs="Times New Roman"/>
          <w:bCs/>
          <w:lang w:val="en-US" w:eastAsia="zh-CN"/>
        </w:rPr>
        <w:t>t</w:t>
      </w:r>
      <w:r>
        <w:rPr>
          <w:rFonts w:hint="eastAsia" w:ascii="Times New Roman" w:hAnsi="Times New Roman" w:cs="Times New Roman"/>
          <w:bCs/>
          <w:lang w:val="en-US" w:eastAsia="zh-CN"/>
        </w:rPr>
        <w:t>he QoE measurement function</w:t>
      </w:r>
      <w:r>
        <w:rPr>
          <w:rFonts w:hint="eastAsia" w:cs="Times New Roman"/>
          <w:bCs/>
          <w:lang w:val="en-US" w:eastAsia="zh-CN"/>
        </w:rPr>
        <w:t>s</w:t>
      </w:r>
      <w:r>
        <w:rPr>
          <w:rFonts w:hint="eastAsia" w:ascii="Times New Roman" w:hAnsi="Times New Roman" w:cs="Times New Roman"/>
          <w:bCs/>
          <w:lang w:val="en-US" w:eastAsia="zh-CN"/>
        </w:rPr>
        <w:t xml:space="preserve"> supported by LTE and NR are different, and there are the following problems to ensure continuity</w:t>
      </w:r>
      <w:r>
        <w:rPr>
          <w:rFonts w:hint="eastAsia" w:cs="Times New Roman"/>
          <w:bCs/>
          <w:lang w:val="en-US" w:eastAsia="zh-CN"/>
        </w:rPr>
        <w:t>:</w:t>
      </w:r>
    </w:p>
    <w:p>
      <w:pPr>
        <w:spacing w:after="120" w:afterLines="50"/>
        <w:ind w:leftChars="100"/>
        <w:jc w:val="both"/>
        <w:rPr>
          <w:rFonts w:hint="eastAsia" w:ascii="Times New Roman" w:hAnsi="Times New Roman" w:cs="Times New Roman"/>
          <w:bCs/>
          <w:lang w:val="en-US" w:eastAsia="zh-CN"/>
        </w:rPr>
      </w:pPr>
      <w:r>
        <w:rPr>
          <w:rFonts w:hint="eastAsia"/>
          <w:lang w:val="en-US" w:eastAsia="zh-CN"/>
        </w:rPr>
        <w:t>-For handover from source gNB to target ng-eNB, more than one QoE measurement collection jobs may have been activated for a service type (e.g. streaming or MTSI) in the source gNB, but the target ng-eNB can only support one QoE measurement collection job for the service type.</w:t>
      </w:r>
    </w:p>
    <w:p>
      <w:pPr>
        <w:spacing w:after="120" w:afterLines="50"/>
        <w:ind w:leftChars="100"/>
        <w:jc w:val="both"/>
        <w:rPr>
          <w:rFonts w:hint="eastAsia"/>
          <w:lang w:val="en-US" w:eastAsia="zh-CN"/>
        </w:rPr>
      </w:pPr>
      <w:r>
        <w:rPr>
          <w:rFonts w:hint="eastAsia"/>
          <w:lang w:val="en-US" w:eastAsia="zh-CN"/>
        </w:rPr>
        <w:t xml:space="preserve">-For handover from source ng-eNB to target gNB, how does the target gNB configure </w:t>
      </w:r>
      <w:r>
        <w:rPr>
          <w:rFonts w:hint="eastAsia"/>
          <w:i/>
          <w:iCs/>
          <w:lang w:val="en-US" w:eastAsia="zh-CN"/>
        </w:rPr>
        <w:t>measConfigAppLayerID</w:t>
      </w:r>
      <w:r>
        <w:rPr>
          <w:rFonts w:hint="eastAsia"/>
          <w:lang w:val="en-US" w:eastAsia="zh-CN"/>
        </w:rPr>
        <w:t xml:space="preserve"> for the source ng-eNB is also a problem that needs to be analyzed?</w:t>
      </w:r>
    </w:p>
    <w:p>
      <w:pPr>
        <w:spacing w:after="120" w:afterLines="50"/>
        <w:jc w:val="both"/>
        <w:rPr>
          <w:rFonts w:hint="eastAsia" w:cs="Times New Roman"/>
          <w:bCs/>
          <w:lang w:val="en-US" w:eastAsia="zh-CN"/>
        </w:rPr>
      </w:pPr>
      <w:r>
        <w:rPr>
          <w:rFonts w:hint="eastAsia" w:cs="Times New Roman"/>
          <w:bCs/>
          <w:lang w:val="en-US" w:eastAsia="zh-CN"/>
        </w:rPr>
        <w:t>Before discussing the above issues, we need to clarify whether the QoE measurement function supported by LTE needs to be enhanced, that is, expanding the service types of QoE measurement, supporting multiple QoE measurements, and so on. In our understanding, none of the above problems may exist if the QoE measurement function supported by LTE is enhanced. If the function of LTE remains unchanged, the above problems and the processing of measurement reporting in NR need to be considered.</w:t>
      </w:r>
    </w:p>
    <w:p>
      <w:pPr>
        <w:spacing w:before="120" w:after="120" w:line="260" w:lineRule="auto"/>
        <w:jc w:val="both"/>
        <w:rPr>
          <w:rFonts w:hint="eastAsia"/>
          <w:b/>
          <w:bCs/>
          <w:lang w:val="en-US" w:eastAsia="zh-CN"/>
        </w:rPr>
      </w:pPr>
      <w:r>
        <w:rPr>
          <w:b/>
          <w:bCs/>
        </w:rPr>
        <w:t>Proposa</w:t>
      </w:r>
      <w:r>
        <w:rPr>
          <w:rFonts w:hint="eastAsia"/>
          <w:b/>
          <w:bCs/>
          <w:lang w:val="en-US" w:eastAsia="zh-CN"/>
        </w:rPr>
        <w:t>l 6</w:t>
      </w:r>
      <w:r>
        <w:rPr>
          <w:b/>
          <w:bCs/>
        </w:rPr>
        <w:t>:</w:t>
      </w:r>
      <w:r>
        <w:rPr>
          <w:rFonts w:hint="eastAsia" w:eastAsia="SimSun"/>
          <w:b/>
          <w:bCs/>
          <w:lang w:val="en-US" w:eastAsia="zh-CN"/>
        </w:rPr>
        <w:t xml:space="preserve"> </w:t>
      </w:r>
      <w:r>
        <w:rPr>
          <w:rFonts w:hint="eastAsia"/>
          <w:b/>
          <w:bCs/>
          <w:lang w:val="en-US" w:eastAsia="zh-CN"/>
        </w:rPr>
        <w:t>It</w:t>
      </w:r>
      <w:r>
        <w:rPr>
          <w:rFonts w:hint="default"/>
          <w:b/>
          <w:bCs/>
          <w:lang w:val="en-US" w:eastAsia="zh-CN"/>
        </w:rPr>
        <w:t>’</w:t>
      </w:r>
      <w:r>
        <w:rPr>
          <w:rFonts w:hint="eastAsia"/>
          <w:b/>
          <w:bCs/>
          <w:lang w:val="en-US" w:eastAsia="zh-CN"/>
        </w:rPr>
        <w:t>s sug</w:t>
      </w:r>
      <w:r>
        <w:rPr>
          <w:rFonts w:hint="eastAsia" w:eastAsia="SimSun"/>
          <w:b/>
          <w:bCs/>
          <w:lang w:val="en-US" w:eastAsia="zh-CN"/>
        </w:rPr>
        <w:t>gested to discuss whether the QoE measurement function supported by LTE needs to be enhanced during the intra-5GC inter-RAT handover process.</w:t>
      </w:r>
    </w:p>
    <w:bookmarkEnd w:id="0"/>
    <w:p>
      <w:pPr>
        <w:pStyle w:val="2"/>
        <w:rPr>
          <w:rFonts w:cs="Arial"/>
          <w:b/>
          <w:lang w:val="en-US"/>
        </w:rPr>
      </w:pPr>
      <w:bookmarkStart w:id="1" w:name="_Hlk83889356"/>
      <w:bookmarkStart w:id="2" w:name="_Hlk83889312"/>
      <w:r>
        <w:rPr>
          <w:rFonts w:cs="Arial"/>
          <w:b/>
          <w:lang w:val="en-US"/>
        </w:rPr>
        <w:t>Conclusion</w:t>
      </w:r>
    </w:p>
    <w:bookmarkEnd w:id="1"/>
    <w:p>
      <w:pPr>
        <w:pStyle w:val="13"/>
        <w:rPr>
          <w:rFonts w:hint="default" w:ascii="Times New Roman" w:hAnsi="Times New Roman" w:cs="Times New Roman"/>
        </w:rPr>
      </w:pPr>
      <w:r>
        <w:rPr>
          <w:rFonts w:hint="default" w:ascii="Times New Roman" w:hAnsi="Times New Roman" w:cs="Times New Roman"/>
        </w:rPr>
        <w:t xml:space="preserve">In </w:t>
      </w:r>
      <w:bookmarkStart w:id="3" w:name="_Hlk83889481"/>
      <w:r>
        <w:rPr>
          <w:rFonts w:hint="default" w:ascii="Times New Roman" w:hAnsi="Times New Roman" w:cs="Times New Roman"/>
        </w:rPr>
        <w:t xml:space="preserve">previous sections, the following observations and proposals were made: </w:t>
      </w:r>
    </w:p>
    <w:p>
      <w:pPr>
        <w:spacing w:before="120" w:after="120" w:line="260" w:lineRule="auto"/>
        <w:jc w:val="both"/>
        <w:rPr>
          <w:rFonts w:hint="eastAsia"/>
          <w:b/>
          <w:bCs/>
          <w:lang w:val="en-US" w:eastAsia="zh-CN"/>
        </w:rPr>
      </w:pPr>
      <w:r>
        <w:rPr>
          <w:b/>
          <w:bCs/>
        </w:rPr>
        <w:t>Proposa</w:t>
      </w:r>
      <w:r>
        <w:rPr>
          <w:rFonts w:hint="eastAsia"/>
          <w:b/>
          <w:bCs/>
          <w:lang w:val="en-US" w:eastAsia="zh-CN"/>
        </w:rPr>
        <w:t>l 1</w:t>
      </w:r>
      <w:r>
        <w:rPr>
          <w:b/>
          <w:bCs/>
        </w:rPr>
        <w:t>:</w:t>
      </w:r>
      <w:r>
        <w:rPr>
          <w:b/>
          <w:bCs/>
          <w:lang w:eastAsia="zh-CN"/>
        </w:rPr>
        <w:t xml:space="preserve"> </w:t>
      </w:r>
      <w:r>
        <w:rPr>
          <w:rFonts w:hint="eastAsia"/>
          <w:b/>
          <w:bCs/>
          <w:lang w:val="en-US" w:eastAsia="zh-CN"/>
        </w:rPr>
        <w:t>It</w:t>
      </w:r>
      <w:r>
        <w:rPr>
          <w:rFonts w:hint="default"/>
          <w:b/>
          <w:bCs/>
          <w:lang w:val="en-US" w:eastAsia="zh-CN"/>
        </w:rPr>
        <w:t>’</w:t>
      </w:r>
      <w:r>
        <w:rPr>
          <w:rFonts w:hint="eastAsia"/>
          <w:b/>
          <w:bCs/>
          <w:lang w:val="en-US" w:eastAsia="zh-CN"/>
        </w:rPr>
        <w:t>s suggested to i</w:t>
      </w:r>
      <w:r>
        <w:rPr>
          <w:b/>
          <w:bCs/>
          <w:lang w:eastAsia="zh-CN"/>
        </w:rPr>
        <w:t xml:space="preserve">ntroduce QoE </w:t>
      </w:r>
      <w:r>
        <w:rPr>
          <w:rFonts w:hint="eastAsia"/>
          <w:b/>
          <w:bCs/>
          <w:lang w:val="en-US" w:eastAsia="zh-CN"/>
        </w:rPr>
        <w:t>configuration information (e.g., legacy QoE and RVQoE) and UE capability information for each service type (e.g., AR, MR and MBS).</w:t>
      </w:r>
    </w:p>
    <w:p>
      <w:pPr>
        <w:spacing w:before="120" w:after="120" w:line="260" w:lineRule="auto"/>
        <w:jc w:val="both"/>
        <w:rPr>
          <w:rFonts w:hint="eastAsia"/>
          <w:b/>
          <w:bCs/>
          <w:lang w:val="en-US" w:eastAsia="zh-CN"/>
        </w:rPr>
      </w:pPr>
      <w:r>
        <w:rPr>
          <w:b/>
          <w:bCs/>
        </w:rPr>
        <w:t>Proposa</w:t>
      </w:r>
      <w:r>
        <w:rPr>
          <w:rFonts w:hint="eastAsia"/>
          <w:b/>
          <w:bCs/>
          <w:lang w:val="en-US" w:eastAsia="zh-CN"/>
        </w:rPr>
        <w:t>l 2</w:t>
      </w:r>
      <w:r>
        <w:rPr>
          <w:b/>
          <w:bCs/>
        </w:rPr>
        <w:t>:</w:t>
      </w:r>
      <w:r>
        <w:rPr>
          <w:rFonts w:hint="eastAsia" w:eastAsia="SimSun"/>
          <w:b/>
          <w:bCs/>
          <w:lang w:val="en-US" w:eastAsia="zh-CN"/>
        </w:rPr>
        <w:t xml:space="preserve"> </w:t>
      </w:r>
      <w:r>
        <w:rPr>
          <w:rFonts w:hint="eastAsia"/>
          <w:b/>
          <w:bCs/>
          <w:lang w:val="en-US" w:eastAsia="zh-CN"/>
        </w:rPr>
        <w:t>It is suggested to discuss whether UE always supports measurement under RRC_INACTIVE and RRC_IDLE states, and if not, discuss the method of UE indicating the above capabilities.</w:t>
      </w:r>
    </w:p>
    <w:p>
      <w:pPr>
        <w:spacing w:before="120" w:after="120" w:line="260" w:lineRule="auto"/>
        <w:jc w:val="both"/>
        <w:rPr>
          <w:rFonts w:hint="eastAsia"/>
          <w:b/>
          <w:bCs/>
          <w:lang w:val="en-US" w:eastAsia="zh-CN"/>
        </w:rPr>
      </w:pPr>
      <w:r>
        <w:rPr>
          <w:b/>
          <w:bCs/>
        </w:rPr>
        <w:t>Proposa</w:t>
      </w:r>
      <w:r>
        <w:rPr>
          <w:rFonts w:hint="eastAsia"/>
          <w:b/>
          <w:bCs/>
          <w:lang w:val="en-US" w:eastAsia="zh-CN"/>
        </w:rPr>
        <w:t>l 3</w:t>
      </w:r>
      <w:r>
        <w:rPr>
          <w:b/>
          <w:bCs/>
        </w:rPr>
        <w:t>:</w:t>
      </w:r>
      <w:r>
        <w:rPr>
          <w:rFonts w:hint="eastAsia" w:eastAsia="SimSun"/>
          <w:b/>
          <w:bCs/>
          <w:lang w:val="en-US" w:eastAsia="zh-CN"/>
        </w:rPr>
        <w:t xml:space="preserve"> </w:t>
      </w:r>
      <w:r>
        <w:rPr>
          <w:rFonts w:hint="eastAsia"/>
          <w:b/>
          <w:bCs/>
          <w:lang w:val="en-US" w:eastAsia="zh-CN"/>
        </w:rPr>
        <w:t>It</w:t>
      </w:r>
      <w:r>
        <w:rPr>
          <w:rFonts w:hint="default"/>
          <w:b/>
          <w:bCs/>
          <w:lang w:val="en-US" w:eastAsia="zh-CN"/>
        </w:rPr>
        <w:t>’</w:t>
      </w:r>
      <w:r>
        <w:rPr>
          <w:rFonts w:hint="eastAsia"/>
          <w:b/>
          <w:bCs/>
          <w:lang w:val="en-US" w:eastAsia="zh-CN"/>
        </w:rPr>
        <w:t>s suggested that the method of configuring QoE measurement information be discussed based on option1 and 2 in the MBS service.</w:t>
      </w:r>
    </w:p>
    <w:p>
      <w:pPr>
        <w:spacing w:before="120" w:after="120" w:line="260" w:lineRule="auto"/>
        <w:jc w:val="both"/>
        <w:rPr>
          <w:rFonts w:hint="eastAsia"/>
          <w:b/>
          <w:bCs/>
          <w:lang w:val="en-US" w:eastAsia="zh-CN"/>
        </w:rPr>
      </w:pPr>
      <w:r>
        <w:rPr>
          <w:b/>
          <w:bCs/>
        </w:rPr>
        <w:t>Proposa</w:t>
      </w:r>
      <w:r>
        <w:rPr>
          <w:rFonts w:hint="eastAsia"/>
          <w:b/>
          <w:bCs/>
          <w:lang w:val="en-US" w:eastAsia="zh-CN"/>
        </w:rPr>
        <w:t>l 4</w:t>
      </w:r>
      <w:r>
        <w:rPr>
          <w:b/>
          <w:bCs/>
        </w:rPr>
        <w:t>:</w:t>
      </w:r>
      <w:r>
        <w:rPr>
          <w:rFonts w:hint="eastAsia" w:eastAsia="SimSun"/>
          <w:b/>
          <w:bCs/>
          <w:lang w:val="en-US" w:eastAsia="zh-CN"/>
        </w:rPr>
        <w:t xml:space="preserve"> </w:t>
      </w:r>
      <w:r>
        <w:rPr>
          <w:rFonts w:hint="eastAsia"/>
          <w:b/>
          <w:bCs/>
          <w:lang w:val="en-US" w:eastAsia="zh-CN"/>
        </w:rPr>
        <w:t>It</w:t>
      </w:r>
      <w:r>
        <w:rPr>
          <w:rFonts w:hint="default"/>
          <w:b/>
          <w:bCs/>
          <w:lang w:val="en-US" w:eastAsia="zh-CN"/>
        </w:rPr>
        <w:t>’</w:t>
      </w:r>
      <w:r>
        <w:rPr>
          <w:rFonts w:hint="eastAsia"/>
          <w:b/>
          <w:bCs/>
          <w:lang w:val="en-US" w:eastAsia="zh-CN"/>
        </w:rPr>
        <w:t>s suggested to discuss whether legacy QoE and RVQoE need to report measurement reporting in different methods, and if so, discuss the QoE measurement reporting method based on real-time requirements.</w:t>
      </w:r>
    </w:p>
    <w:p>
      <w:pPr>
        <w:spacing w:after="120" w:afterLines="50"/>
        <w:ind w:left="0" w:leftChars="0"/>
        <w:jc w:val="both"/>
        <w:rPr>
          <w:rFonts w:hint="eastAsia"/>
          <w:b/>
          <w:bCs/>
          <w:lang w:val="en-US" w:eastAsia="zh-CN"/>
        </w:rPr>
      </w:pPr>
      <w:r>
        <w:rPr>
          <w:b/>
          <w:bCs/>
        </w:rPr>
        <w:t>Observation</w:t>
      </w:r>
      <w:r>
        <w:rPr>
          <w:rFonts w:hint="eastAsia" w:eastAsia="SimSun"/>
          <w:b/>
          <w:bCs/>
          <w:lang w:val="en-US" w:eastAsia="zh-CN"/>
        </w:rPr>
        <w:t xml:space="preserve"> 1</w:t>
      </w:r>
      <w:r>
        <w:rPr>
          <w:b/>
          <w:bCs/>
        </w:rPr>
        <w:t>:</w:t>
      </w:r>
      <w:r>
        <w:rPr>
          <w:rFonts w:hint="eastAsia" w:ascii="Times New Roman" w:hAnsi="Times New Roman" w:cs="Times New Roman"/>
          <w:bCs/>
          <w:lang w:val="en-US" w:eastAsia="zh-CN"/>
        </w:rPr>
        <w:t xml:space="preserve"> </w:t>
      </w:r>
      <w:r>
        <w:rPr>
          <w:rFonts w:hint="eastAsia"/>
          <w:b/>
          <w:bCs/>
          <w:lang w:val="en-US" w:eastAsia="zh-CN"/>
        </w:rPr>
        <w:t>Before discussing the information contained in the QoE measurement configuration, the configuration method of QoE measurement (MN and/or SN) needs to be clarified.</w:t>
      </w:r>
    </w:p>
    <w:p>
      <w:pPr>
        <w:spacing w:after="120" w:afterLines="50"/>
        <w:ind w:left="0" w:leftChars="0"/>
        <w:jc w:val="both"/>
        <w:rPr>
          <w:rFonts w:hint="eastAsia" w:cs="Times New Roman"/>
          <w:bCs/>
          <w:lang w:val="en-US" w:eastAsia="zh-CN"/>
        </w:rPr>
      </w:pPr>
      <w:r>
        <w:rPr>
          <w:b/>
          <w:bCs/>
        </w:rPr>
        <w:t>Observation</w:t>
      </w:r>
      <w:r>
        <w:rPr>
          <w:rFonts w:hint="eastAsia" w:eastAsia="SimSun"/>
          <w:b/>
          <w:bCs/>
          <w:lang w:val="en-US" w:eastAsia="zh-CN"/>
        </w:rPr>
        <w:t xml:space="preserve"> 2</w:t>
      </w:r>
      <w:r>
        <w:rPr>
          <w:b/>
          <w:bCs/>
        </w:rPr>
        <w:t>:</w:t>
      </w:r>
      <w:r>
        <w:rPr>
          <w:rFonts w:hint="eastAsia" w:ascii="Times New Roman" w:hAnsi="Times New Roman" w:cs="Times New Roman"/>
          <w:bCs/>
          <w:lang w:val="en-US" w:eastAsia="zh-CN"/>
        </w:rPr>
        <w:t xml:space="preserve"> </w:t>
      </w:r>
      <w:r>
        <w:rPr>
          <w:rFonts w:hint="eastAsia"/>
          <w:b/>
          <w:bCs/>
          <w:lang w:val="en-US" w:eastAsia="zh-CN"/>
        </w:rPr>
        <w:t xml:space="preserve">There may be some correlation between the reporting method and the configuration method of QoE. </w:t>
      </w:r>
    </w:p>
    <w:p>
      <w:pPr>
        <w:spacing w:after="120" w:afterLines="50"/>
        <w:ind w:left="0" w:leftChars="0"/>
        <w:jc w:val="both"/>
        <w:rPr>
          <w:rFonts w:hint="eastAsia"/>
          <w:b/>
          <w:bCs/>
          <w:lang w:val="en-US" w:eastAsia="zh-CN"/>
        </w:rPr>
      </w:pPr>
      <w:r>
        <w:rPr>
          <w:rFonts w:hint="eastAsia"/>
          <w:b/>
          <w:bCs/>
          <w:lang w:val="en-US" w:eastAsia="zh-CN"/>
        </w:rPr>
        <w:t xml:space="preserve">Observation 3: The SRB used by MN and SN needs to be clarified before discussing the reporting method. </w:t>
      </w:r>
    </w:p>
    <w:p>
      <w:pPr>
        <w:spacing w:before="120" w:after="120" w:line="260" w:lineRule="auto"/>
        <w:jc w:val="both"/>
        <w:rPr>
          <w:rFonts w:hint="eastAsia"/>
          <w:b/>
          <w:bCs/>
          <w:lang w:val="en-US" w:eastAsia="zh-CN"/>
        </w:rPr>
      </w:pPr>
      <w:r>
        <w:rPr>
          <w:b/>
          <w:bCs/>
        </w:rPr>
        <w:t>Proposa</w:t>
      </w:r>
      <w:r>
        <w:rPr>
          <w:rFonts w:hint="eastAsia"/>
          <w:b/>
          <w:bCs/>
          <w:lang w:val="en-US" w:eastAsia="zh-CN"/>
        </w:rPr>
        <w:t>l 5</w:t>
      </w:r>
      <w:r>
        <w:rPr>
          <w:b/>
          <w:bCs/>
        </w:rPr>
        <w:t>:</w:t>
      </w:r>
      <w:r>
        <w:rPr>
          <w:rFonts w:hint="eastAsia" w:eastAsia="SimSun"/>
          <w:b/>
          <w:bCs/>
          <w:lang w:val="en-US" w:eastAsia="zh-CN"/>
        </w:rPr>
        <w:t xml:space="preserve"> </w:t>
      </w:r>
      <w:r>
        <w:rPr>
          <w:rFonts w:hint="eastAsia"/>
          <w:b/>
          <w:bCs/>
          <w:lang w:val="en-US" w:eastAsia="zh-CN"/>
        </w:rPr>
        <w:t>It</w:t>
      </w:r>
      <w:r>
        <w:rPr>
          <w:rFonts w:hint="default"/>
          <w:b/>
          <w:bCs/>
          <w:lang w:val="en-US" w:eastAsia="zh-CN"/>
        </w:rPr>
        <w:t>’</w:t>
      </w:r>
      <w:r>
        <w:rPr>
          <w:rFonts w:hint="eastAsia"/>
          <w:b/>
          <w:bCs/>
          <w:lang w:val="en-US" w:eastAsia="zh-CN"/>
        </w:rPr>
        <w:t>s suggested to discuss the configuration method (MN and/or SN) of QoE measurement information, and analyze the reporting method and SRB based on the above configuration method.</w:t>
      </w:r>
    </w:p>
    <w:p>
      <w:pPr>
        <w:spacing w:before="120" w:after="120" w:line="260" w:lineRule="auto"/>
        <w:jc w:val="both"/>
        <w:rPr>
          <w:rFonts w:hint="eastAsia"/>
          <w:b/>
          <w:bCs/>
          <w:lang w:val="en-US" w:eastAsia="zh-CN"/>
        </w:rPr>
      </w:pPr>
      <w:r>
        <w:rPr>
          <w:b/>
          <w:bCs/>
        </w:rPr>
        <w:t>Proposa</w:t>
      </w:r>
      <w:r>
        <w:rPr>
          <w:rFonts w:hint="eastAsia"/>
          <w:b/>
          <w:bCs/>
          <w:lang w:val="en-US" w:eastAsia="zh-CN"/>
        </w:rPr>
        <w:t>l 6</w:t>
      </w:r>
      <w:r>
        <w:rPr>
          <w:b/>
          <w:bCs/>
        </w:rPr>
        <w:t>:</w:t>
      </w:r>
      <w:r>
        <w:rPr>
          <w:rFonts w:hint="eastAsia" w:eastAsia="SimSun"/>
          <w:b/>
          <w:bCs/>
          <w:lang w:val="en-US" w:eastAsia="zh-CN"/>
        </w:rPr>
        <w:t xml:space="preserve"> </w:t>
      </w:r>
      <w:r>
        <w:rPr>
          <w:rFonts w:hint="eastAsia"/>
          <w:b/>
          <w:bCs/>
          <w:lang w:val="en-US" w:eastAsia="zh-CN"/>
        </w:rPr>
        <w:t>It</w:t>
      </w:r>
      <w:r>
        <w:rPr>
          <w:rFonts w:hint="default"/>
          <w:b/>
          <w:bCs/>
          <w:lang w:val="en-US" w:eastAsia="zh-CN"/>
        </w:rPr>
        <w:t>’</w:t>
      </w:r>
      <w:r>
        <w:rPr>
          <w:rFonts w:hint="eastAsia"/>
          <w:b/>
          <w:bCs/>
          <w:lang w:val="en-US" w:eastAsia="zh-CN"/>
        </w:rPr>
        <w:t>s sug</w:t>
      </w:r>
      <w:r>
        <w:rPr>
          <w:rFonts w:hint="eastAsia" w:eastAsia="SimSun"/>
          <w:b/>
          <w:bCs/>
          <w:lang w:val="en-US" w:eastAsia="zh-CN"/>
        </w:rPr>
        <w:t>gested to discuss whether the QoE measurement function supported by LTE needs to be enhanced during the intra-5GC inter-RAT handover process.</w:t>
      </w:r>
    </w:p>
    <w:p>
      <w:pPr>
        <w:pStyle w:val="13"/>
        <w:rPr>
          <w:rFonts w:cs="Arial"/>
        </w:rPr>
      </w:pPr>
    </w:p>
    <w:p>
      <w:pPr>
        <w:pStyle w:val="18"/>
        <w:tabs>
          <w:tab w:val="right" w:leader="dot" w:pos="9639"/>
        </w:tabs>
        <w:rPr>
          <w:rFonts w:ascii="Arial" w:hAnsi="Arial" w:cs="Arial"/>
          <w:bCs/>
        </w:rPr>
      </w:pPr>
      <w:r>
        <w:rPr>
          <w:rFonts w:cs="Arial"/>
          <w:b w:val="0"/>
          <w:bCs/>
        </w:rPr>
        <w:fldChar w:fldCharType="begin"/>
      </w:r>
      <w:r>
        <w:rPr>
          <w:rFonts w:cs="Arial"/>
          <w:b w:val="0"/>
          <w:bCs/>
        </w:rPr>
        <w:instrText xml:space="preserve"> TOC \n \h \z \t "Proposal" \c </w:instrText>
      </w:r>
      <w:r>
        <w:rPr>
          <w:rFonts w:cs="Arial"/>
          <w:b w:val="0"/>
          <w:bCs/>
        </w:rPr>
        <w:fldChar w:fldCharType="separate"/>
      </w:r>
    </w:p>
    <w:p/>
    <w:p>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rPr>
          <w:rFonts w:ascii="Arial" w:hAnsi="Arial" w:eastAsia="Times New Roman" w:cs="Times New Roman"/>
          <w:sz w:val="36"/>
          <w:szCs w:val="20"/>
          <w:lang w:eastAsia="ja-JP"/>
        </w:rPr>
      </w:pPr>
      <w:r>
        <w:rPr>
          <w:rFonts w:ascii="Arial" w:hAnsi="Arial" w:cs="Arial"/>
          <w:bCs/>
        </w:rPr>
        <w:fldChar w:fldCharType="end"/>
      </w:r>
      <w:bookmarkEnd w:id="2"/>
      <w:bookmarkEnd w:id="3"/>
      <w:r>
        <w:rPr>
          <w:rFonts w:ascii="Arial" w:hAnsi="Arial" w:eastAsia="Times New Roman" w:cs="Times New Roman"/>
          <w:sz w:val="36"/>
          <w:szCs w:val="20"/>
          <w:lang w:eastAsia="ja-JP"/>
        </w:rPr>
        <w:t xml:space="preserve"> References</w:t>
      </w:r>
    </w:p>
    <w:p>
      <w:pPr>
        <w:pStyle w:val="46"/>
        <w:numPr>
          <w:ilvl w:val="0"/>
          <w:numId w:val="9"/>
        </w:numPr>
        <w:ind w:firstLineChars="0"/>
        <w:rPr>
          <w:rFonts w:cs="Arial"/>
          <w:color w:val="000000"/>
        </w:rPr>
      </w:pPr>
      <w:bookmarkStart w:id="4" w:name="_Ref31646358"/>
      <w:r>
        <w:rPr>
          <w:rFonts w:hint="eastAsia"/>
        </w:rPr>
        <w:t>RP-22</w:t>
      </w:r>
      <w:r>
        <w:rPr>
          <w:rFonts w:hint="eastAsia" w:eastAsia="SimSun"/>
          <w:lang w:val="en-US" w:eastAsia="zh-CN"/>
        </w:rPr>
        <w:t>1803</w:t>
      </w:r>
      <w:r>
        <w:rPr>
          <w:rFonts w:hint="eastAsia"/>
        </w:rPr>
        <w:t xml:space="preserve">, </w:t>
      </w:r>
      <w:r>
        <w:t xml:space="preserve">Enhancement on </w:t>
      </w:r>
      <w:r>
        <w:rPr>
          <w:lang w:eastAsia="zh-CN"/>
        </w:rPr>
        <w:t>NR QoE management and optimizations for diverse services</w:t>
      </w:r>
      <w:r>
        <w:rPr>
          <w:rFonts w:hint="default"/>
          <w:lang w:val="en-US"/>
        </w:rPr>
        <w:t xml:space="preserve">, </w:t>
      </w:r>
      <w:r>
        <w:rPr>
          <w:rFonts w:hint="eastAsia" w:eastAsia="SimSun"/>
          <w:lang w:val="en-US" w:eastAsia="zh-CN"/>
        </w:rPr>
        <w:t>June</w:t>
      </w:r>
      <w:r>
        <w:rPr>
          <w:rFonts w:hint="eastAsia"/>
        </w:rPr>
        <w:t>, 2022</w:t>
      </w:r>
    </w:p>
    <w:p>
      <w:pPr>
        <w:pStyle w:val="14"/>
        <w:numPr>
          <w:ilvl w:val="0"/>
          <w:numId w:val="0"/>
        </w:numPr>
        <w:ind w:left="426"/>
        <w:rPr>
          <w:lang w:val="en-US"/>
        </w:rPr>
      </w:pPr>
      <w:r>
        <w:rPr>
          <w:lang w:val="en-US"/>
        </w:rPr>
        <w:t xml:space="preserve"> </w:t>
      </w:r>
      <w:bookmarkEnd w:id="4"/>
    </w:p>
    <w:sectPr>
      <w:footerReference r:id="rId6" w:type="default"/>
      <w:headerReference r:id="rId5" w:type="even"/>
      <w:footnotePr>
        <w:numRestart w:val="eachSect"/>
      </w:footnotePr>
      <w:type w:val="continuous"/>
      <w:pgSz w:w="11907" w:h="16840"/>
      <w:pgMar w:top="1134" w:right="1134" w:bottom="1418"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汉仪仿宋简"/>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游明朝">
    <w:altName w:val="仿宋"/>
    <w:panose1 w:val="00000000000000000000"/>
    <w:charset w:val="86"/>
    <w:family w:val="auto"/>
    <w:pitch w:val="default"/>
    <w:sig w:usb0="00000000" w:usb1="00000000" w:usb2="00000000" w:usb3="00000000" w:csb0="00000000" w:csb1="00000000"/>
  </w:font>
  <w:font w:name="Calibri Light">
    <w:panose1 w:val="020F0302020204030204"/>
    <w:charset w:val="00"/>
    <w:family w:val="swiss"/>
    <w:pitch w:val="default"/>
    <w:sig w:usb0="E0002AFF" w:usb1="C000247B" w:usb2="00000009" w:usb3="00000000" w:csb0="200001FF" w:csb1="00000000"/>
  </w:font>
  <w:font w:name="游ゴシック Light">
    <w:panose1 w:val="020B0300000000000000"/>
    <w:charset w:val="80"/>
    <w:family w:val="auto"/>
    <w:pitch w:val="default"/>
    <w:sig w:usb0="E00002FF" w:usb1="2AC7FDFF" w:usb2="00000016" w:usb3="00000000" w:csb0="2002009F" w:csb1="00000000"/>
  </w:font>
  <w:font w:name="Batang">
    <w:altName w:val="Malgun Gothic"/>
    <w:panose1 w:val="02030600000101010101"/>
    <w:charset w:val="81"/>
    <w:family w:val="roman"/>
    <w:pitch w:val="default"/>
    <w:sig w:usb0="00000000" w:usb1="00000000" w:usb2="00000030" w:usb3="00000000" w:csb0="4008009F" w:csb1="DFD70000"/>
  </w:font>
  <w:font w:name="Segoe UI">
    <w:panose1 w:val="020B0502040204020203"/>
    <w:charset w:val="00"/>
    <w:family w:val="swiss"/>
    <w:pitch w:val="default"/>
    <w:sig w:usb0="E4002EFF" w:usb1="C000E47F" w:usb2="00000009" w:usb3="00000000" w:csb0="200001FF" w:csb1="00000000"/>
  </w:font>
  <w:font w:name="CG Times (WN)">
    <w:altName w:val="宋体"/>
    <w:panose1 w:val="00000000000000000000"/>
    <w:charset w:val="00"/>
    <w:family w:val="roman"/>
    <w:pitch w:val="default"/>
    <w:sig w:usb0="00000000" w:usb1="00000000" w:usb2="00000000" w:usb3="00000000" w:csb0="00000001" w:csb1="00000000"/>
  </w:font>
  <w:font w:name="Calibri">
    <w:panose1 w:val="020F0502020204030204"/>
    <w:charset w:val="00"/>
    <w:family w:val="swiss"/>
    <w:pitch w:val="default"/>
    <w:sig w:usb0="E0002EFF" w:usb1="C000247B" w:usb2="00000009" w:usb3="00000000" w:csb0="200001FF" w:csb1="00000000"/>
  </w:font>
  <w:font w:name="MS Mincho">
    <w:altName w:val="MS Gothic"/>
    <w:panose1 w:val="02020609040205080304"/>
    <w:charset w:val="80"/>
    <w:family w:val="modern"/>
    <w:pitch w:val="default"/>
    <w:sig w:usb0="00000000" w:usb1="00000000" w:usb2="00000012" w:usb3="00000000" w:csb0="4002009F" w:csb1="DFD70000"/>
  </w:font>
  <w:font w:name="SimSun">
    <w:panose1 w:val="02010600030101010101"/>
    <w:charset w:val="86"/>
    <w:family w:val="auto"/>
    <w:pitch w:val="default"/>
    <w:sig w:usb0="00000003" w:usb1="288F0000" w:usb2="0000000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center" w:pos="4820"/>
        <w:tab w:val="right" w:pos="9639"/>
      </w:tabs>
      <w:jc w:val="left"/>
    </w:pPr>
    <w:r>
      <w:tab/>
    </w:r>
    <w:r>
      <w:rPr>
        <w:rStyle w:val="25"/>
        <w:rFonts w:eastAsiaTheme="majorEastAsia"/>
      </w:rPr>
      <w:fldChar w:fldCharType="begin"/>
    </w:r>
    <w:r>
      <w:rPr>
        <w:rStyle w:val="25"/>
        <w:rFonts w:eastAsiaTheme="majorEastAsia"/>
      </w:rPr>
      <w:instrText xml:space="preserve"> PAGE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w:t>
    </w:r>
    <w:r>
      <w:rPr>
        <w:rStyle w:val="25"/>
        <w:rFonts w:eastAsiaTheme="majorEastAsia"/>
      </w:rPr>
      <w:fldChar w:fldCharType="begin"/>
    </w:r>
    <w:r>
      <w:rPr>
        <w:rStyle w:val="25"/>
        <w:rFonts w:eastAsiaTheme="majorEastAsia"/>
      </w:rPr>
      <w:instrText xml:space="preserve"> NUMPAGES </w:instrText>
    </w:r>
    <w:r>
      <w:rPr>
        <w:rStyle w:val="25"/>
        <w:rFonts w:eastAsiaTheme="majorEastAsia"/>
      </w:rPr>
      <w:fldChar w:fldCharType="separate"/>
    </w:r>
    <w:r>
      <w:rPr>
        <w:rStyle w:val="25"/>
        <w:rFonts w:eastAsiaTheme="majorEastAsia"/>
      </w:rPr>
      <w:t>4</w:t>
    </w:r>
    <w:r>
      <w:rPr>
        <w:rStyle w:val="25"/>
        <w:rFonts w:eastAsiaTheme="majorEastAsia"/>
      </w:rPr>
      <w:fldChar w:fldCharType="end"/>
    </w:r>
    <w:r>
      <w:rPr>
        <w:rStyle w:val="25"/>
        <w:rFonts w:eastAsiaTheme="majorEastAsia"/>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69"/>
      <w:lvlText w:val="Proposal %1:"/>
      <w:lvlJc w:val="left"/>
      <w:pPr>
        <w:tabs>
          <w:tab w:val="left" w:pos="0"/>
        </w:tabs>
        <w:ind w:left="0" w:firstLine="0"/>
      </w:pPr>
      <w:rPr>
        <w:rFonts w:hint="default" w:ascii="Times New Roman" w:hAnsi="Times New Roman" w:eastAsia="宋体" w:cs="Times New Roman"/>
        <w:b/>
        <w:bCs/>
        <w:i w:val="0"/>
        <w:iCs w:val="0"/>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56651AB"/>
    <w:multiLevelType w:val="multilevel"/>
    <w:tmpl w:val="056651AB"/>
    <w:lvl w:ilvl="0" w:tentative="0">
      <w:start w:val="1"/>
      <w:numFmt w:val="bullet"/>
      <w:lvlText w:val=""/>
      <w:lvlJc w:val="left"/>
      <w:pPr>
        <w:ind w:left="420" w:hanging="420"/>
      </w:pPr>
      <w:rPr>
        <w:rFonts w:hint="default" w:ascii="Symbol" w:hAnsi="Symbol"/>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1C371C83"/>
    <w:multiLevelType w:val="multilevel"/>
    <w:tmpl w:val="1C371C83"/>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rPr>
        <w:b/>
        <w:bCs/>
        <w:color w:val="auto"/>
      </w:r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8"/>
      <w:lvlText w:val="%1.%2.%3.%4.%5.%6.%7"/>
      <w:lvlJc w:val="left"/>
      <w:pPr>
        <w:ind w:left="1296" w:hanging="1296"/>
      </w:pPr>
    </w:lvl>
    <w:lvl w:ilvl="7" w:tentative="0">
      <w:start w:val="1"/>
      <w:numFmt w:val="decimal"/>
      <w:pStyle w:val="9"/>
      <w:lvlText w:val="%1.%2.%3.%4.%5.%6.%7.%8"/>
      <w:lvlJc w:val="left"/>
      <w:pPr>
        <w:ind w:left="1440" w:hanging="1440"/>
      </w:pPr>
    </w:lvl>
    <w:lvl w:ilvl="8" w:tentative="0">
      <w:start w:val="1"/>
      <w:numFmt w:val="decimal"/>
      <w:pStyle w:val="10"/>
      <w:lvlText w:val="%1.%2.%3.%4.%5.%6.%7.%8.%9"/>
      <w:lvlJc w:val="left"/>
      <w:pPr>
        <w:ind w:left="1584" w:hanging="1584"/>
      </w:pPr>
    </w:lvl>
  </w:abstractNum>
  <w:abstractNum w:abstractNumId="3">
    <w:nsid w:val="3AA46647"/>
    <w:multiLevelType w:val="multilevel"/>
    <w:tmpl w:val="3AA46647"/>
    <w:lvl w:ilvl="0" w:tentative="0">
      <w:start w:val="1"/>
      <w:numFmt w:val="decimal"/>
      <w:pStyle w:val="42"/>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3BA27462"/>
    <w:multiLevelType w:val="multilevel"/>
    <w:tmpl w:val="3BA27462"/>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4EE279BF"/>
    <w:multiLevelType w:val="multilevel"/>
    <w:tmpl w:val="4EE279BF"/>
    <w:lvl w:ilvl="0" w:tentative="0">
      <w:start w:val="1"/>
      <w:numFmt w:val="bullet"/>
      <w:lvlText w:val="−"/>
      <w:lvlJc w:val="left"/>
      <w:pPr>
        <w:ind w:left="840" w:hanging="420"/>
      </w:pPr>
      <w:rPr>
        <w:rFonts w:hint="eastAsia" w:ascii="微软雅黑" w:hAnsi="微软雅黑" w:eastAsia="微软雅黑"/>
        <w:lang w:val="en-GB"/>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abstractNum w:abstractNumId="6">
    <w:nsid w:val="5101505E"/>
    <w:multiLevelType w:val="multilevel"/>
    <w:tmpl w:val="5101505E"/>
    <w:lvl w:ilvl="0" w:tentative="0">
      <w:start w:val="1"/>
      <w:numFmt w:val="decimal"/>
      <w:pStyle w:val="43"/>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70146DC0"/>
    <w:multiLevelType w:val="multilevel"/>
    <w:tmpl w:val="70146DC0"/>
    <w:lvl w:ilvl="0" w:tentative="0">
      <w:start w:val="1"/>
      <w:numFmt w:val="bullet"/>
      <w:pStyle w:val="65"/>
      <w:lvlText w:val=""/>
      <w:lvlJc w:val="left"/>
      <w:pPr>
        <w:tabs>
          <w:tab w:val="left" w:pos="1636"/>
        </w:tabs>
        <w:ind w:left="1636"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2"/>
  </w:num>
  <w:num w:numId="2">
    <w:abstractNumId w:val="8"/>
  </w:num>
  <w:num w:numId="3">
    <w:abstractNumId w:val="3"/>
  </w:num>
  <w:num w:numId="4">
    <w:abstractNumId w:val="6"/>
  </w:num>
  <w:num w:numId="5">
    <w:abstractNumId w:val="7"/>
  </w:num>
  <w:num w:numId="6">
    <w:abstractNumId w:val="0"/>
  </w:num>
  <w:num w:numId="7">
    <w:abstractNumId w:val="1"/>
  </w:num>
  <w:num w:numId="8">
    <w:abstractNumId w:val="5"/>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removePersonalInformation/>
  <w:doNotDisplayPageBoundaries w:val="true"/>
  <w:bordersDoNotSurroundHeader w:val="false"/>
  <w:bordersDoNotSurroundFooter w:val="false"/>
  <w:documentProtection w:enforcement="0"/>
  <w:defaultTabStop w:val="720"/>
  <w:hyphenationZone w:val="425"/>
  <w:displayHorizontalDrawingGridEvery w:val="1"/>
  <w:displayVerticalDrawingGridEvery w:val="1"/>
  <w:noPunctuationKerning w:val="true"/>
  <w:characterSpacingControl w:val="doNotCompress"/>
  <w:footnotePr>
    <w:numRestart w:val="eachSect"/>
    <w:footnote w:id="0"/>
    <w:footnote w:id="1"/>
  </w:footnotePr>
  <w:endnotePr>
    <w:endnote w:id="0"/>
    <w:endnote w:id="1"/>
  </w:end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110F"/>
    <w:rsid w:val="00001C67"/>
    <w:rsid w:val="0000383D"/>
    <w:rsid w:val="000056D3"/>
    <w:rsid w:val="0000657C"/>
    <w:rsid w:val="000067E8"/>
    <w:rsid w:val="00007650"/>
    <w:rsid w:val="000105C1"/>
    <w:rsid w:val="00010C3E"/>
    <w:rsid w:val="00010C67"/>
    <w:rsid w:val="000120AB"/>
    <w:rsid w:val="00013A07"/>
    <w:rsid w:val="00016DC0"/>
    <w:rsid w:val="000175E7"/>
    <w:rsid w:val="00020A3D"/>
    <w:rsid w:val="000221B6"/>
    <w:rsid w:val="000225A4"/>
    <w:rsid w:val="0002343A"/>
    <w:rsid w:val="000239EF"/>
    <w:rsid w:val="00023F9C"/>
    <w:rsid w:val="000249E1"/>
    <w:rsid w:val="00025038"/>
    <w:rsid w:val="00026F6F"/>
    <w:rsid w:val="00027251"/>
    <w:rsid w:val="00032107"/>
    <w:rsid w:val="00033032"/>
    <w:rsid w:val="000341FA"/>
    <w:rsid w:val="000348F1"/>
    <w:rsid w:val="00036E85"/>
    <w:rsid w:val="00037C41"/>
    <w:rsid w:val="0004125F"/>
    <w:rsid w:val="00047285"/>
    <w:rsid w:val="00050F0B"/>
    <w:rsid w:val="00051A26"/>
    <w:rsid w:val="000521E1"/>
    <w:rsid w:val="00055158"/>
    <w:rsid w:val="00056E42"/>
    <w:rsid w:val="00060B2D"/>
    <w:rsid w:val="00061DEB"/>
    <w:rsid w:val="000623B3"/>
    <w:rsid w:val="00062C27"/>
    <w:rsid w:val="0006420A"/>
    <w:rsid w:val="00064A37"/>
    <w:rsid w:val="00067D17"/>
    <w:rsid w:val="00070678"/>
    <w:rsid w:val="00071D03"/>
    <w:rsid w:val="00073042"/>
    <w:rsid w:val="000730D5"/>
    <w:rsid w:val="00073C12"/>
    <w:rsid w:val="00074364"/>
    <w:rsid w:val="00074CFD"/>
    <w:rsid w:val="000771DD"/>
    <w:rsid w:val="0007725F"/>
    <w:rsid w:val="00077DA5"/>
    <w:rsid w:val="00081870"/>
    <w:rsid w:val="00081994"/>
    <w:rsid w:val="00081AE6"/>
    <w:rsid w:val="000842E0"/>
    <w:rsid w:val="0008436C"/>
    <w:rsid w:val="00086EB5"/>
    <w:rsid w:val="0008742F"/>
    <w:rsid w:val="0009066D"/>
    <w:rsid w:val="00090E7D"/>
    <w:rsid w:val="00090F95"/>
    <w:rsid w:val="000920E8"/>
    <w:rsid w:val="000924E1"/>
    <w:rsid w:val="000938EA"/>
    <w:rsid w:val="0009477B"/>
    <w:rsid w:val="00094E14"/>
    <w:rsid w:val="000951B6"/>
    <w:rsid w:val="00097280"/>
    <w:rsid w:val="000977BD"/>
    <w:rsid w:val="00097CF1"/>
    <w:rsid w:val="00097FE1"/>
    <w:rsid w:val="000A1CC2"/>
    <w:rsid w:val="000A2670"/>
    <w:rsid w:val="000A27E1"/>
    <w:rsid w:val="000A3704"/>
    <w:rsid w:val="000A6C76"/>
    <w:rsid w:val="000B04C3"/>
    <w:rsid w:val="000B1D9A"/>
    <w:rsid w:val="000B3B95"/>
    <w:rsid w:val="000B438B"/>
    <w:rsid w:val="000B5B37"/>
    <w:rsid w:val="000C06F5"/>
    <w:rsid w:val="000C16CD"/>
    <w:rsid w:val="000C3465"/>
    <w:rsid w:val="000C3A72"/>
    <w:rsid w:val="000C48D3"/>
    <w:rsid w:val="000C4BD0"/>
    <w:rsid w:val="000D1402"/>
    <w:rsid w:val="000D247C"/>
    <w:rsid w:val="000D29E8"/>
    <w:rsid w:val="000D2DBB"/>
    <w:rsid w:val="000D623A"/>
    <w:rsid w:val="000E0F92"/>
    <w:rsid w:val="000E2AD8"/>
    <w:rsid w:val="000E4C61"/>
    <w:rsid w:val="000E62F6"/>
    <w:rsid w:val="000E6F4E"/>
    <w:rsid w:val="000E7880"/>
    <w:rsid w:val="000E7AE7"/>
    <w:rsid w:val="000F0261"/>
    <w:rsid w:val="000F0C1F"/>
    <w:rsid w:val="000F1AE0"/>
    <w:rsid w:val="000F1E9F"/>
    <w:rsid w:val="000F23CE"/>
    <w:rsid w:val="000F2CDF"/>
    <w:rsid w:val="000F3A7C"/>
    <w:rsid w:val="000F488C"/>
    <w:rsid w:val="000F795D"/>
    <w:rsid w:val="001010B4"/>
    <w:rsid w:val="0010171A"/>
    <w:rsid w:val="00101CBA"/>
    <w:rsid w:val="00104155"/>
    <w:rsid w:val="0010435B"/>
    <w:rsid w:val="001043C2"/>
    <w:rsid w:val="00107346"/>
    <w:rsid w:val="001130B5"/>
    <w:rsid w:val="00113300"/>
    <w:rsid w:val="001139EC"/>
    <w:rsid w:val="00113AC3"/>
    <w:rsid w:val="001143D1"/>
    <w:rsid w:val="00115597"/>
    <w:rsid w:val="00121D23"/>
    <w:rsid w:val="001228CB"/>
    <w:rsid w:val="00122B13"/>
    <w:rsid w:val="0012647E"/>
    <w:rsid w:val="00126A1C"/>
    <w:rsid w:val="00127147"/>
    <w:rsid w:val="001276BE"/>
    <w:rsid w:val="00130FBC"/>
    <w:rsid w:val="00132758"/>
    <w:rsid w:val="001334E5"/>
    <w:rsid w:val="00134DB5"/>
    <w:rsid w:val="0013532E"/>
    <w:rsid w:val="0013673F"/>
    <w:rsid w:val="001415C3"/>
    <w:rsid w:val="001426F4"/>
    <w:rsid w:val="00143421"/>
    <w:rsid w:val="00144F30"/>
    <w:rsid w:val="0014517C"/>
    <w:rsid w:val="00145D79"/>
    <w:rsid w:val="00150184"/>
    <w:rsid w:val="0015115B"/>
    <w:rsid w:val="001523D7"/>
    <w:rsid w:val="0015353E"/>
    <w:rsid w:val="00154287"/>
    <w:rsid w:val="00155734"/>
    <w:rsid w:val="00157AEA"/>
    <w:rsid w:val="00157B61"/>
    <w:rsid w:val="00157CDE"/>
    <w:rsid w:val="00157D6B"/>
    <w:rsid w:val="00160111"/>
    <w:rsid w:val="001604D3"/>
    <w:rsid w:val="00173B9C"/>
    <w:rsid w:val="00173C1C"/>
    <w:rsid w:val="00173EA4"/>
    <w:rsid w:val="00174ADF"/>
    <w:rsid w:val="00175F66"/>
    <w:rsid w:val="00177889"/>
    <w:rsid w:val="00180FDF"/>
    <w:rsid w:val="0018252D"/>
    <w:rsid w:val="00182F1F"/>
    <w:rsid w:val="001847FB"/>
    <w:rsid w:val="00186C13"/>
    <w:rsid w:val="00187D5F"/>
    <w:rsid w:val="00190310"/>
    <w:rsid w:val="0019194B"/>
    <w:rsid w:val="001923D5"/>
    <w:rsid w:val="00192C85"/>
    <w:rsid w:val="0019384A"/>
    <w:rsid w:val="00195074"/>
    <w:rsid w:val="00195D5C"/>
    <w:rsid w:val="00196B7F"/>
    <w:rsid w:val="001A0C26"/>
    <w:rsid w:val="001A1A34"/>
    <w:rsid w:val="001A2384"/>
    <w:rsid w:val="001A267C"/>
    <w:rsid w:val="001A443F"/>
    <w:rsid w:val="001A50E3"/>
    <w:rsid w:val="001A5BC9"/>
    <w:rsid w:val="001A62C5"/>
    <w:rsid w:val="001A7B56"/>
    <w:rsid w:val="001B0019"/>
    <w:rsid w:val="001B069E"/>
    <w:rsid w:val="001B1E4A"/>
    <w:rsid w:val="001B219F"/>
    <w:rsid w:val="001B33A0"/>
    <w:rsid w:val="001B3487"/>
    <w:rsid w:val="001B39B2"/>
    <w:rsid w:val="001C0431"/>
    <w:rsid w:val="001C2E50"/>
    <w:rsid w:val="001C7166"/>
    <w:rsid w:val="001D217A"/>
    <w:rsid w:val="001D28F3"/>
    <w:rsid w:val="001D4983"/>
    <w:rsid w:val="001D5574"/>
    <w:rsid w:val="001D5D5E"/>
    <w:rsid w:val="001D62CF"/>
    <w:rsid w:val="001E153F"/>
    <w:rsid w:val="001E1942"/>
    <w:rsid w:val="001E1FFA"/>
    <w:rsid w:val="001E2349"/>
    <w:rsid w:val="001E78F7"/>
    <w:rsid w:val="001E797D"/>
    <w:rsid w:val="001F0680"/>
    <w:rsid w:val="001F0B5D"/>
    <w:rsid w:val="001F2ABD"/>
    <w:rsid w:val="001F410D"/>
    <w:rsid w:val="001F4ED9"/>
    <w:rsid w:val="001F5611"/>
    <w:rsid w:val="001F70CB"/>
    <w:rsid w:val="001F7B70"/>
    <w:rsid w:val="002016C5"/>
    <w:rsid w:val="00202D28"/>
    <w:rsid w:val="00206C15"/>
    <w:rsid w:val="002070CF"/>
    <w:rsid w:val="00207327"/>
    <w:rsid w:val="00210356"/>
    <w:rsid w:val="00210376"/>
    <w:rsid w:val="002149F3"/>
    <w:rsid w:val="00216637"/>
    <w:rsid w:val="00220B68"/>
    <w:rsid w:val="00223380"/>
    <w:rsid w:val="00224F0F"/>
    <w:rsid w:val="00226221"/>
    <w:rsid w:val="0023030B"/>
    <w:rsid w:val="002303AD"/>
    <w:rsid w:val="00230E6A"/>
    <w:rsid w:val="00231FCA"/>
    <w:rsid w:val="0023252C"/>
    <w:rsid w:val="002336D6"/>
    <w:rsid w:val="0023435E"/>
    <w:rsid w:val="002360A9"/>
    <w:rsid w:val="002362BC"/>
    <w:rsid w:val="002370DC"/>
    <w:rsid w:val="00237335"/>
    <w:rsid w:val="00240AB7"/>
    <w:rsid w:val="00240B4C"/>
    <w:rsid w:val="002418BA"/>
    <w:rsid w:val="00245AA2"/>
    <w:rsid w:val="00250CB5"/>
    <w:rsid w:val="002513D4"/>
    <w:rsid w:val="00251A60"/>
    <w:rsid w:val="00252B96"/>
    <w:rsid w:val="00252E27"/>
    <w:rsid w:val="00253050"/>
    <w:rsid w:val="002565CF"/>
    <w:rsid w:val="00260912"/>
    <w:rsid w:val="002631D7"/>
    <w:rsid w:val="00264506"/>
    <w:rsid w:val="00264E22"/>
    <w:rsid w:val="00266254"/>
    <w:rsid w:val="0027088B"/>
    <w:rsid w:val="00270D89"/>
    <w:rsid w:val="0027138F"/>
    <w:rsid w:val="00271925"/>
    <w:rsid w:val="00272434"/>
    <w:rsid w:val="00274EC2"/>
    <w:rsid w:val="00275242"/>
    <w:rsid w:val="00277EFA"/>
    <w:rsid w:val="002855B3"/>
    <w:rsid w:val="00286BCD"/>
    <w:rsid w:val="00290FAE"/>
    <w:rsid w:val="0029120A"/>
    <w:rsid w:val="00291768"/>
    <w:rsid w:val="002917CE"/>
    <w:rsid w:val="00292011"/>
    <w:rsid w:val="00292165"/>
    <w:rsid w:val="002958D6"/>
    <w:rsid w:val="0029690F"/>
    <w:rsid w:val="00296ED6"/>
    <w:rsid w:val="002A4884"/>
    <w:rsid w:val="002A4C41"/>
    <w:rsid w:val="002A6D31"/>
    <w:rsid w:val="002A6D4B"/>
    <w:rsid w:val="002B0B5A"/>
    <w:rsid w:val="002B5790"/>
    <w:rsid w:val="002B7834"/>
    <w:rsid w:val="002C1AE9"/>
    <w:rsid w:val="002C22DD"/>
    <w:rsid w:val="002C38E3"/>
    <w:rsid w:val="002C6031"/>
    <w:rsid w:val="002D0374"/>
    <w:rsid w:val="002D13AF"/>
    <w:rsid w:val="002D141B"/>
    <w:rsid w:val="002D151E"/>
    <w:rsid w:val="002D2514"/>
    <w:rsid w:val="002D3064"/>
    <w:rsid w:val="002D3535"/>
    <w:rsid w:val="002D4DA0"/>
    <w:rsid w:val="002D5297"/>
    <w:rsid w:val="002D6608"/>
    <w:rsid w:val="002D6B83"/>
    <w:rsid w:val="002E01EE"/>
    <w:rsid w:val="002E1EE2"/>
    <w:rsid w:val="002E2A76"/>
    <w:rsid w:val="002F0795"/>
    <w:rsid w:val="002F390F"/>
    <w:rsid w:val="002F47CC"/>
    <w:rsid w:val="00300AE1"/>
    <w:rsid w:val="003040C1"/>
    <w:rsid w:val="00305BC3"/>
    <w:rsid w:val="00306F87"/>
    <w:rsid w:val="00313700"/>
    <w:rsid w:val="00313D00"/>
    <w:rsid w:val="003158BC"/>
    <w:rsid w:val="00316F58"/>
    <w:rsid w:val="00317224"/>
    <w:rsid w:val="00320952"/>
    <w:rsid w:val="00322745"/>
    <w:rsid w:val="0032317E"/>
    <w:rsid w:val="003234CA"/>
    <w:rsid w:val="00323C3D"/>
    <w:rsid w:val="00323E6D"/>
    <w:rsid w:val="00330E43"/>
    <w:rsid w:val="00331848"/>
    <w:rsid w:val="003319C3"/>
    <w:rsid w:val="003339F2"/>
    <w:rsid w:val="00334EB3"/>
    <w:rsid w:val="00335103"/>
    <w:rsid w:val="0034044B"/>
    <w:rsid w:val="0034159A"/>
    <w:rsid w:val="003433D7"/>
    <w:rsid w:val="003463DA"/>
    <w:rsid w:val="00347BE4"/>
    <w:rsid w:val="003513EC"/>
    <w:rsid w:val="003519B8"/>
    <w:rsid w:val="00352CE4"/>
    <w:rsid w:val="00356975"/>
    <w:rsid w:val="00362781"/>
    <w:rsid w:val="00364497"/>
    <w:rsid w:val="00365AF0"/>
    <w:rsid w:val="00367E05"/>
    <w:rsid w:val="00373A1D"/>
    <w:rsid w:val="00373C25"/>
    <w:rsid w:val="00374D3D"/>
    <w:rsid w:val="00375C1E"/>
    <w:rsid w:val="00375F26"/>
    <w:rsid w:val="00376920"/>
    <w:rsid w:val="0037734C"/>
    <w:rsid w:val="003807DA"/>
    <w:rsid w:val="00380C40"/>
    <w:rsid w:val="00381720"/>
    <w:rsid w:val="00382A7B"/>
    <w:rsid w:val="00383CB7"/>
    <w:rsid w:val="0038491D"/>
    <w:rsid w:val="00386D0A"/>
    <w:rsid w:val="00387CB7"/>
    <w:rsid w:val="00390A39"/>
    <w:rsid w:val="0039104F"/>
    <w:rsid w:val="0039288D"/>
    <w:rsid w:val="00392A7D"/>
    <w:rsid w:val="003961D7"/>
    <w:rsid w:val="0039638B"/>
    <w:rsid w:val="00396420"/>
    <w:rsid w:val="003967E5"/>
    <w:rsid w:val="003968C6"/>
    <w:rsid w:val="003A030F"/>
    <w:rsid w:val="003A2A53"/>
    <w:rsid w:val="003A3A0C"/>
    <w:rsid w:val="003A6958"/>
    <w:rsid w:val="003A6BAA"/>
    <w:rsid w:val="003A748E"/>
    <w:rsid w:val="003A7F5A"/>
    <w:rsid w:val="003B09B5"/>
    <w:rsid w:val="003B39FD"/>
    <w:rsid w:val="003B4D55"/>
    <w:rsid w:val="003B58AB"/>
    <w:rsid w:val="003B6885"/>
    <w:rsid w:val="003C0720"/>
    <w:rsid w:val="003C2964"/>
    <w:rsid w:val="003C39AC"/>
    <w:rsid w:val="003C4E5D"/>
    <w:rsid w:val="003C54E0"/>
    <w:rsid w:val="003D0A07"/>
    <w:rsid w:val="003D0DB3"/>
    <w:rsid w:val="003D128E"/>
    <w:rsid w:val="003D3C82"/>
    <w:rsid w:val="003D7690"/>
    <w:rsid w:val="003E103D"/>
    <w:rsid w:val="003E2114"/>
    <w:rsid w:val="003E3BD5"/>
    <w:rsid w:val="003E424F"/>
    <w:rsid w:val="003F2084"/>
    <w:rsid w:val="003F392E"/>
    <w:rsid w:val="003F3BF6"/>
    <w:rsid w:val="003F3DCC"/>
    <w:rsid w:val="003F4E21"/>
    <w:rsid w:val="003F544E"/>
    <w:rsid w:val="003F7C7A"/>
    <w:rsid w:val="0040199B"/>
    <w:rsid w:val="00402A4B"/>
    <w:rsid w:val="0040311B"/>
    <w:rsid w:val="00406003"/>
    <w:rsid w:val="00406D37"/>
    <w:rsid w:val="004078C5"/>
    <w:rsid w:val="00407EAE"/>
    <w:rsid w:val="0041092D"/>
    <w:rsid w:val="00411B46"/>
    <w:rsid w:val="00412F41"/>
    <w:rsid w:val="00413509"/>
    <w:rsid w:val="004139FE"/>
    <w:rsid w:val="00413AF9"/>
    <w:rsid w:val="00414585"/>
    <w:rsid w:val="00414EF2"/>
    <w:rsid w:val="00414F87"/>
    <w:rsid w:val="004153A7"/>
    <w:rsid w:val="00416942"/>
    <w:rsid w:val="00422558"/>
    <w:rsid w:val="0042373F"/>
    <w:rsid w:val="0042425C"/>
    <w:rsid w:val="0042432D"/>
    <w:rsid w:val="00425DE5"/>
    <w:rsid w:val="00427B36"/>
    <w:rsid w:val="00430072"/>
    <w:rsid w:val="0043295C"/>
    <w:rsid w:val="004345B9"/>
    <w:rsid w:val="0044049F"/>
    <w:rsid w:val="00440B7C"/>
    <w:rsid w:val="004418AD"/>
    <w:rsid w:val="0044303F"/>
    <w:rsid w:val="00446856"/>
    <w:rsid w:val="00446FEB"/>
    <w:rsid w:val="00450112"/>
    <w:rsid w:val="00450663"/>
    <w:rsid w:val="004508A9"/>
    <w:rsid w:val="004508D3"/>
    <w:rsid w:val="00452380"/>
    <w:rsid w:val="004523DE"/>
    <w:rsid w:val="00454C8E"/>
    <w:rsid w:val="00455E7B"/>
    <w:rsid w:val="00460515"/>
    <w:rsid w:val="00461AD4"/>
    <w:rsid w:val="004631A4"/>
    <w:rsid w:val="00463809"/>
    <w:rsid w:val="004640A6"/>
    <w:rsid w:val="004658C5"/>
    <w:rsid w:val="00465916"/>
    <w:rsid w:val="004661EB"/>
    <w:rsid w:val="004669C7"/>
    <w:rsid w:val="0046700E"/>
    <w:rsid w:val="004675ED"/>
    <w:rsid w:val="00467C5D"/>
    <w:rsid w:val="00467F4A"/>
    <w:rsid w:val="004720D4"/>
    <w:rsid w:val="0047308E"/>
    <w:rsid w:val="00474E4F"/>
    <w:rsid w:val="00476846"/>
    <w:rsid w:val="00477577"/>
    <w:rsid w:val="00480A92"/>
    <w:rsid w:val="00482DC0"/>
    <w:rsid w:val="00483824"/>
    <w:rsid w:val="0048514D"/>
    <w:rsid w:val="00485A33"/>
    <w:rsid w:val="004869DE"/>
    <w:rsid w:val="00491F7B"/>
    <w:rsid w:val="004927D6"/>
    <w:rsid w:val="00495F99"/>
    <w:rsid w:val="00496802"/>
    <w:rsid w:val="004A09F9"/>
    <w:rsid w:val="004A1294"/>
    <w:rsid w:val="004A4E92"/>
    <w:rsid w:val="004A5110"/>
    <w:rsid w:val="004A6677"/>
    <w:rsid w:val="004B16C8"/>
    <w:rsid w:val="004B2DF3"/>
    <w:rsid w:val="004B4624"/>
    <w:rsid w:val="004B60CE"/>
    <w:rsid w:val="004B6B34"/>
    <w:rsid w:val="004B7390"/>
    <w:rsid w:val="004B7BA7"/>
    <w:rsid w:val="004C003F"/>
    <w:rsid w:val="004C02ED"/>
    <w:rsid w:val="004C2CDC"/>
    <w:rsid w:val="004C2E26"/>
    <w:rsid w:val="004C34E1"/>
    <w:rsid w:val="004C4418"/>
    <w:rsid w:val="004C5997"/>
    <w:rsid w:val="004C60C9"/>
    <w:rsid w:val="004C79CC"/>
    <w:rsid w:val="004C7B4C"/>
    <w:rsid w:val="004D1E44"/>
    <w:rsid w:val="004D21E9"/>
    <w:rsid w:val="004D25B9"/>
    <w:rsid w:val="004D2635"/>
    <w:rsid w:val="004D3DAC"/>
    <w:rsid w:val="004D4DE8"/>
    <w:rsid w:val="004D57B4"/>
    <w:rsid w:val="004D6265"/>
    <w:rsid w:val="004D7E45"/>
    <w:rsid w:val="004E5E54"/>
    <w:rsid w:val="004E70D1"/>
    <w:rsid w:val="004E7ED1"/>
    <w:rsid w:val="004F0F59"/>
    <w:rsid w:val="004F123F"/>
    <w:rsid w:val="004F1716"/>
    <w:rsid w:val="004F3610"/>
    <w:rsid w:val="004F373E"/>
    <w:rsid w:val="004F5B36"/>
    <w:rsid w:val="004F6A49"/>
    <w:rsid w:val="004F7544"/>
    <w:rsid w:val="004F768E"/>
    <w:rsid w:val="004F7A1A"/>
    <w:rsid w:val="00501106"/>
    <w:rsid w:val="00501FF1"/>
    <w:rsid w:val="005057AF"/>
    <w:rsid w:val="00507B77"/>
    <w:rsid w:val="00511718"/>
    <w:rsid w:val="00512453"/>
    <w:rsid w:val="00515206"/>
    <w:rsid w:val="00515B45"/>
    <w:rsid w:val="00516CBE"/>
    <w:rsid w:val="00520223"/>
    <w:rsid w:val="005208F6"/>
    <w:rsid w:val="00523D86"/>
    <w:rsid w:val="00524548"/>
    <w:rsid w:val="00527D66"/>
    <w:rsid w:val="00534D2E"/>
    <w:rsid w:val="00535C95"/>
    <w:rsid w:val="00536007"/>
    <w:rsid w:val="00537993"/>
    <w:rsid w:val="00537C71"/>
    <w:rsid w:val="00540AA1"/>
    <w:rsid w:val="00540ACD"/>
    <w:rsid w:val="00540E0B"/>
    <w:rsid w:val="005414C3"/>
    <w:rsid w:val="005414E2"/>
    <w:rsid w:val="00544058"/>
    <w:rsid w:val="005446A3"/>
    <w:rsid w:val="005474DC"/>
    <w:rsid w:val="00547784"/>
    <w:rsid w:val="00551C88"/>
    <w:rsid w:val="0055340A"/>
    <w:rsid w:val="00554479"/>
    <w:rsid w:val="00554BB9"/>
    <w:rsid w:val="0056329F"/>
    <w:rsid w:val="005640CE"/>
    <w:rsid w:val="0056591A"/>
    <w:rsid w:val="00565A11"/>
    <w:rsid w:val="00566966"/>
    <w:rsid w:val="005679A8"/>
    <w:rsid w:val="00567FC6"/>
    <w:rsid w:val="00571D53"/>
    <w:rsid w:val="0057414A"/>
    <w:rsid w:val="00575C78"/>
    <w:rsid w:val="005774C6"/>
    <w:rsid w:val="00581BC2"/>
    <w:rsid w:val="005826CA"/>
    <w:rsid w:val="00583B5C"/>
    <w:rsid w:val="0059009D"/>
    <w:rsid w:val="00590211"/>
    <w:rsid w:val="00590647"/>
    <w:rsid w:val="00590EB8"/>
    <w:rsid w:val="00591ED4"/>
    <w:rsid w:val="005941D1"/>
    <w:rsid w:val="0059472A"/>
    <w:rsid w:val="00595B77"/>
    <w:rsid w:val="00596247"/>
    <w:rsid w:val="0059788D"/>
    <w:rsid w:val="005A1869"/>
    <w:rsid w:val="005A1FD1"/>
    <w:rsid w:val="005A4A52"/>
    <w:rsid w:val="005A5267"/>
    <w:rsid w:val="005A55B6"/>
    <w:rsid w:val="005A5E1B"/>
    <w:rsid w:val="005A6CC7"/>
    <w:rsid w:val="005B0CC2"/>
    <w:rsid w:val="005B13C4"/>
    <w:rsid w:val="005B15D1"/>
    <w:rsid w:val="005B25A4"/>
    <w:rsid w:val="005B45AF"/>
    <w:rsid w:val="005B4741"/>
    <w:rsid w:val="005B6610"/>
    <w:rsid w:val="005B67F0"/>
    <w:rsid w:val="005B7614"/>
    <w:rsid w:val="005C0BE4"/>
    <w:rsid w:val="005C64A2"/>
    <w:rsid w:val="005D0E08"/>
    <w:rsid w:val="005D1D4F"/>
    <w:rsid w:val="005D5779"/>
    <w:rsid w:val="005E159D"/>
    <w:rsid w:val="005E1D1E"/>
    <w:rsid w:val="005E21B3"/>
    <w:rsid w:val="005E5FE0"/>
    <w:rsid w:val="005E7A68"/>
    <w:rsid w:val="005F04AF"/>
    <w:rsid w:val="005F1499"/>
    <w:rsid w:val="005F1B93"/>
    <w:rsid w:val="005F2858"/>
    <w:rsid w:val="005F2FCD"/>
    <w:rsid w:val="005F3B56"/>
    <w:rsid w:val="005F52DE"/>
    <w:rsid w:val="005F5FAE"/>
    <w:rsid w:val="005F6032"/>
    <w:rsid w:val="00600216"/>
    <w:rsid w:val="006002E1"/>
    <w:rsid w:val="006015B6"/>
    <w:rsid w:val="00601A16"/>
    <w:rsid w:val="00604D63"/>
    <w:rsid w:val="00605181"/>
    <w:rsid w:val="00606F55"/>
    <w:rsid w:val="006071BF"/>
    <w:rsid w:val="006105A1"/>
    <w:rsid w:val="00610A42"/>
    <w:rsid w:val="00613BD2"/>
    <w:rsid w:val="00613CE2"/>
    <w:rsid w:val="00614B74"/>
    <w:rsid w:val="00617E86"/>
    <w:rsid w:val="0062090E"/>
    <w:rsid w:val="00621A07"/>
    <w:rsid w:val="006245F2"/>
    <w:rsid w:val="00624B02"/>
    <w:rsid w:val="00624F2D"/>
    <w:rsid w:val="006251B6"/>
    <w:rsid w:val="006419AF"/>
    <w:rsid w:val="0064204A"/>
    <w:rsid w:val="006428B0"/>
    <w:rsid w:val="0064387B"/>
    <w:rsid w:val="00643EAC"/>
    <w:rsid w:val="00644521"/>
    <w:rsid w:val="006462D4"/>
    <w:rsid w:val="0065355C"/>
    <w:rsid w:val="006549EF"/>
    <w:rsid w:val="00655681"/>
    <w:rsid w:val="006572E7"/>
    <w:rsid w:val="00657D86"/>
    <w:rsid w:val="00657EF6"/>
    <w:rsid w:val="006605F3"/>
    <w:rsid w:val="006613ED"/>
    <w:rsid w:val="0066327F"/>
    <w:rsid w:val="00665692"/>
    <w:rsid w:val="006658DA"/>
    <w:rsid w:val="0066592E"/>
    <w:rsid w:val="00670DE5"/>
    <w:rsid w:val="00671002"/>
    <w:rsid w:val="00671650"/>
    <w:rsid w:val="00672421"/>
    <w:rsid w:val="00672710"/>
    <w:rsid w:val="006728F5"/>
    <w:rsid w:val="006728F8"/>
    <w:rsid w:val="00675F38"/>
    <w:rsid w:val="00676A53"/>
    <w:rsid w:val="00676CC1"/>
    <w:rsid w:val="006774D1"/>
    <w:rsid w:val="00677AEA"/>
    <w:rsid w:val="0068014E"/>
    <w:rsid w:val="00680F4E"/>
    <w:rsid w:val="006816B7"/>
    <w:rsid w:val="00681A9A"/>
    <w:rsid w:val="00682205"/>
    <w:rsid w:val="00685DE6"/>
    <w:rsid w:val="006920D6"/>
    <w:rsid w:val="00694280"/>
    <w:rsid w:val="0069451A"/>
    <w:rsid w:val="00694AEA"/>
    <w:rsid w:val="00696731"/>
    <w:rsid w:val="00697A80"/>
    <w:rsid w:val="006A134C"/>
    <w:rsid w:val="006A402D"/>
    <w:rsid w:val="006A6071"/>
    <w:rsid w:val="006A6DAD"/>
    <w:rsid w:val="006A6E9F"/>
    <w:rsid w:val="006B06B1"/>
    <w:rsid w:val="006B26BE"/>
    <w:rsid w:val="006B5552"/>
    <w:rsid w:val="006B6588"/>
    <w:rsid w:val="006B665C"/>
    <w:rsid w:val="006C056D"/>
    <w:rsid w:val="006C0CAD"/>
    <w:rsid w:val="006C11CA"/>
    <w:rsid w:val="006C2B8A"/>
    <w:rsid w:val="006C4227"/>
    <w:rsid w:val="006C4434"/>
    <w:rsid w:val="006C4FC5"/>
    <w:rsid w:val="006C5BE9"/>
    <w:rsid w:val="006C6D16"/>
    <w:rsid w:val="006C75E1"/>
    <w:rsid w:val="006D1685"/>
    <w:rsid w:val="006D62EF"/>
    <w:rsid w:val="006E055B"/>
    <w:rsid w:val="006E21AA"/>
    <w:rsid w:val="006E2A8B"/>
    <w:rsid w:val="006E3CBA"/>
    <w:rsid w:val="006E6E38"/>
    <w:rsid w:val="006E6E7E"/>
    <w:rsid w:val="006E6FA7"/>
    <w:rsid w:val="006F045A"/>
    <w:rsid w:val="006F26EF"/>
    <w:rsid w:val="006F4814"/>
    <w:rsid w:val="006F6D47"/>
    <w:rsid w:val="00700255"/>
    <w:rsid w:val="007008F4"/>
    <w:rsid w:val="00702B1A"/>
    <w:rsid w:val="00704EFF"/>
    <w:rsid w:val="00705607"/>
    <w:rsid w:val="00706DCB"/>
    <w:rsid w:val="00707DFE"/>
    <w:rsid w:val="0071117B"/>
    <w:rsid w:val="007119C9"/>
    <w:rsid w:val="00712D2F"/>
    <w:rsid w:val="00713320"/>
    <w:rsid w:val="00716BA0"/>
    <w:rsid w:val="00716E25"/>
    <w:rsid w:val="007209F2"/>
    <w:rsid w:val="007222B6"/>
    <w:rsid w:val="00723BEA"/>
    <w:rsid w:val="00724826"/>
    <w:rsid w:val="0072583E"/>
    <w:rsid w:val="00725D3C"/>
    <w:rsid w:val="00726F10"/>
    <w:rsid w:val="0073140A"/>
    <w:rsid w:val="00731656"/>
    <w:rsid w:val="007320D5"/>
    <w:rsid w:val="007328CA"/>
    <w:rsid w:val="00734134"/>
    <w:rsid w:val="0074009A"/>
    <w:rsid w:val="00740AC1"/>
    <w:rsid w:val="00741160"/>
    <w:rsid w:val="00742E78"/>
    <w:rsid w:val="00743045"/>
    <w:rsid w:val="007437C0"/>
    <w:rsid w:val="00744243"/>
    <w:rsid w:val="00744493"/>
    <w:rsid w:val="00745A7E"/>
    <w:rsid w:val="00746DA8"/>
    <w:rsid w:val="0075258A"/>
    <w:rsid w:val="00752CD1"/>
    <w:rsid w:val="0075329E"/>
    <w:rsid w:val="00757646"/>
    <w:rsid w:val="00761AEA"/>
    <w:rsid w:val="007630CC"/>
    <w:rsid w:val="00763318"/>
    <w:rsid w:val="00765E93"/>
    <w:rsid w:val="00766D88"/>
    <w:rsid w:val="00767C33"/>
    <w:rsid w:val="0077041A"/>
    <w:rsid w:val="00773CEA"/>
    <w:rsid w:val="00773EE7"/>
    <w:rsid w:val="00774BB7"/>
    <w:rsid w:val="00776453"/>
    <w:rsid w:val="00777078"/>
    <w:rsid w:val="007773A0"/>
    <w:rsid w:val="007806C5"/>
    <w:rsid w:val="00781203"/>
    <w:rsid w:val="00782F4C"/>
    <w:rsid w:val="00785B2A"/>
    <w:rsid w:val="007871F4"/>
    <w:rsid w:val="007873E9"/>
    <w:rsid w:val="00787D89"/>
    <w:rsid w:val="0079040C"/>
    <w:rsid w:val="00790A70"/>
    <w:rsid w:val="007922DF"/>
    <w:rsid w:val="007952ED"/>
    <w:rsid w:val="00796B14"/>
    <w:rsid w:val="007977F8"/>
    <w:rsid w:val="007A0FDF"/>
    <w:rsid w:val="007A1087"/>
    <w:rsid w:val="007A27EF"/>
    <w:rsid w:val="007A50C2"/>
    <w:rsid w:val="007B0734"/>
    <w:rsid w:val="007B25C0"/>
    <w:rsid w:val="007B27E3"/>
    <w:rsid w:val="007B30A2"/>
    <w:rsid w:val="007B5F98"/>
    <w:rsid w:val="007B7646"/>
    <w:rsid w:val="007B7E79"/>
    <w:rsid w:val="007C3649"/>
    <w:rsid w:val="007C62FD"/>
    <w:rsid w:val="007C67EB"/>
    <w:rsid w:val="007C72E2"/>
    <w:rsid w:val="007D0698"/>
    <w:rsid w:val="007D2A91"/>
    <w:rsid w:val="007D3143"/>
    <w:rsid w:val="007D5A57"/>
    <w:rsid w:val="007E065A"/>
    <w:rsid w:val="007E0FF1"/>
    <w:rsid w:val="007E243E"/>
    <w:rsid w:val="007E26DA"/>
    <w:rsid w:val="007E36EA"/>
    <w:rsid w:val="007E3F0B"/>
    <w:rsid w:val="007F243E"/>
    <w:rsid w:val="007F363E"/>
    <w:rsid w:val="007F3DCE"/>
    <w:rsid w:val="007F422D"/>
    <w:rsid w:val="007F49B8"/>
    <w:rsid w:val="007F67C1"/>
    <w:rsid w:val="007F70D7"/>
    <w:rsid w:val="007F7EDC"/>
    <w:rsid w:val="008014DB"/>
    <w:rsid w:val="00802987"/>
    <w:rsid w:val="00802D77"/>
    <w:rsid w:val="00803C86"/>
    <w:rsid w:val="00805D24"/>
    <w:rsid w:val="00807164"/>
    <w:rsid w:val="00807E70"/>
    <w:rsid w:val="0081000B"/>
    <w:rsid w:val="0081069B"/>
    <w:rsid w:val="00810DFB"/>
    <w:rsid w:val="00812633"/>
    <w:rsid w:val="008129A1"/>
    <w:rsid w:val="00812AFE"/>
    <w:rsid w:val="008139EB"/>
    <w:rsid w:val="00815D66"/>
    <w:rsid w:val="00816EE2"/>
    <w:rsid w:val="0081741E"/>
    <w:rsid w:val="00817598"/>
    <w:rsid w:val="008178C3"/>
    <w:rsid w:val="00823335"/>
    <w:rsid w:val="008235EB"/>
    <w:rsid w:val="00824706"/>
    <w:rsid w:val="008255F6"/>
    <w:rsid w:val="00826585"/>
    <w:rsid w:val="0083273F"/>
    <w:rsid w:val="00832842"/>
    <w:rsid w:val="00832CAA"/>
    <w:rsid w:val="00833328"/>
    <w:rsid w:val="0083405D"/>
    <w:rsid w:val="00835389"/>
    <w:rsid w:val="00836846"/>
    <w:rsid w:val="0083795E"/>
    <w:rsid w:val="00840570"/>
    <w:rsid w:val="00841BB1"/>
    <w:rsid w:val="008463F0"/>
    <w:rsid w:val="00846BDD"/>
    <w:rsid w:val="0084749B"/>
    <w:rsid w:val="008478E6"/>
    <w:rsid w:val="00850652"/>
    <w:rsid w:val="00850B82"/>
    <w:rsid w:val="0085519A"/>
    <w:rsid w:val="00856D7F"/>
    <w:rsid w:val="008578B5"/>
    <w:rsid w:val="00860120"/>
    <w:rsid w:val="0086156F"/>
    <w:rsid w:val="0086169C"/>
    <w:rsid w:val="00861BBE"/>
    <w:rsid w:val="00864653"/>
    <w:rsid w:val="00865DA0"/>
    <w:rsid w:val="00866923"/>
    <w:rsid w:val="00872C6B"/>
    <w:rsid w:val="00873D28"/>
    <w:rsid w:val="00875277"/>
    <w:rsid w:val="00875D61"/>
    <w:rsid w:val="00876084"/>
    <w:rsid w:val="00880E28"/>
    <w:rsid w:val="008814B9"/>
    <w:rsid w:val="00887210"/>
    <w:rsid w:val="00887F5C"/>
    <w:rsid w:val="00891DCF"/>
    <w:rsid w:val="0089331F"/>
    <w:rsid w:val="00893F56"/>
    <w:rsid w:val="00893FF9"/>
    <w:rsid w:val="0089407E"/>
    <w:rsid w:val="00896A0D"/>
    <w:rsid w:val="00896AF0"/>
    <w:rsid w:val="00897C56"/>
    <w:rsid w:val="008A2A67"/>
    <w:rsid w:val="008A3C75"/>
    <w:rsid w:val="008B0A80"/>
    <w:rsid w:val="008B0CF7"/>
    <w:rsid w:val="008B2D78"/>
    <w:rsid w:val="008B4CCB"/>
    <w:rsid w:val="008B6B6D"/>
    <w:rsid w:val="008B7BA8"/>
    <w:rsid w:val="008C0709"/>
    <w:rsid w:val="008C19AD"/>
    <w:rsid w:val="008C2D44"/>
    <w:rsid w:val="008C35B2"/>
    <w:rsid w:val="008C39B2"/>
    <w:rsid w:val="008C58DB"/>
    <w:rsid w:val="008C743C"/>
    <w:rsid w:val="008C7F58"/>
    <w:rsid w:val="008D01F7"/>
    <w:rsid w:val="008D09D0"/>
    <w:rsid w:val="008D1AE2"/>
    <w:rsid w:val="008D1FF1"/>
    <w:rsid w:val="008D2529"/>
    <w:rsid w:val="008D278A"/>
    <w:rsid w:val="008D2CAF"/>
    <w:rsid w:val="008D2FE0"/>
    <w:rsid w:val="008D3C4D"/>
    <w:rsid w:val="008D4629"/>
    <w:rsid w:val="008D4846"/>
    <w:rsid w:val="008D6606"/>
    <w:rsid w:val="008E0200"/>
    <w:rsid w:val="008E1591"/>
    <w:rsid w:val="008E28B6"/>
    <w:rsid w:val="008E63A0"/>
    <w:rsid w:val="008E67DD"/>
    <w:rsid w:val="008E7AC0"/>
    <w:rsid w:val="008F0740"/>
    <w:rsid w:val="008F1F3C"/>
    <w:rsid w:val="008F217F"/>
    <w:rsid w:val="008F389F"/>
    <w:rsid w:val="008F3CD9"/>
    <w:rsid w:val="008F4E00"/>
    <w:rsid w:val="008F4FBC"/>
    <w:rsid w:val="008F52DB"/>
    <w:rsid w:val="008F6283"/>
    <w:rsid w:val="008F6558"/>
    <w:rsid w:val="008F7B12"/>
    <w:rsid w:val="00902B5E"/>
    <w:rsid w:val="009049B6"/>
    <w:rsid w:val="009063F7"/>
    <w:rsid w:val="00907D41"/>
    <w:rsid w:val="009105AC"/>
    <w:rsid w:val="009147ED"/>
    <w:rsid w:val="009159BB"/>
    <w:rsid w:val="00916108"/>
    <w:rsid w:val="00916F9E"/>
    <w:rsid w:val="009209E1"/>
    <w:rsid w:val="00920B86"/>
    <w:rsid w:val="00921541"/>
    <w:rsid w:val="009234AD"/>
    <w:rsid w:val="009239AD"/>
    <w:rsid w:val="009266E5"/>
    <w:rsid w:val="0092749F"/>
    <w:rsid w:val="00930988"/>
    <w:rsid w:val="0093434A"/>
    <w:rsid w:val="00936C7A"/>
    <w:rsid w:val="00940491"/>
    <w:rsid w:val="00943644"/>
    <w:rsid w:val="0094667D"/>
    <w:rsid w:val="0094710D"/>
    <w:rsid w:val="00947AB0"/>
    <w:rsid w:val="0095366D"/>
    <w:rsid w:val="009555AF"/>
    <w:rsid w:val="009564A8"/>
    <w:rsid w:val="0095680C"/>
    <w:rsid w:val="0095782E"/>
    <w:rsid w:val="00957948"/>
    <w:rsid w:val="009622BB"/>
    <w:rsid w:val="00967873"/>
    <w:rsid w:val="00967DF9"/>
    <w:rsid w:val="00971B60"/>
    <w:rsid w:val="009726D3"/>
    <w:rsid w:val="00973A1F"/>
    <w:rsid w:val="009754DE"/>
    <w:rsid w:val="00976F82"/>
    <w:rsid w:val="00977285"/>
    <w:rsid w:val="009802E9"/>
    <w:rsid w:val="009836C1"/>
    <w:rsid w:val="00983DE7"/>
    <w:rsid w:val="00984C6F"/>
    <w:rsid w:val="009859C2"/>
    <w:rsid w:val="0098634C"/>
    <w:rsid w:val="00987EA9"/>
    <w:rsid w:val="009949A9"/>
    <w:rsid w:val="0099597D"/>
    <w:rsid w:val="00995A30"/>
    <w:rsid w:val="00996E9B"/>
    <w:rsid w:val="0099705C"/>
    <w:rsid w:val="0099745C"/>
    <w:rsid w:val="00997AF8"/>
    <w:rsid w:val="009A076D"/>
    <w:rsid w:val="009A0B90"/>
    <w:rsid w:val="009A30BC"/>
    <w:rsid w:val="009A4F2D"/>
    <w:rsid w:val="009A5842"/>
    <w:rsid w:val="009B0AC6"/>
    <w:rsid w:val="009B1EAC"/>
    <w:rsid w:val="009B3A13"/>
    <w:rsid w:val="009B4A99"/>
    <w:rsid w:val="009B550C"/>
    <w:rsid w:val="009B63B1"/>
    <w:rsid w:val="009B63FD"/>
    <w:rsid w:val="009B6F8E"/>
    <w:rsid w:val="009C2377"/>
    <w:rsid w:val="009C2C6F"/>
    <w:rsid w:val="009C45E6"/>
    <w:rsid w:val="009C497F"/>
    <w:rsid w:val="009C72F3"/>
    <w:rsid w:val="009C7E91"/>
    <w:rsid w:val="009D0AA0"/>
    <w:rsid w:val="009D3D27"/>
    <w:rsid w:val="009D47FF"/>
    <w:rsid w:val="009D4AF2"/>
    <w:rsid w:val="009D5D6D"/>
    <w:rsid w:val="009D6E75"/>
    <w:rsid w:val="009E0B4C"/>
    <w:rsid w:val="009E279A"/>
    <w:rsid w:val="009E35DF"/>
    <w:rsid w:val="009E3A9A"/>
    <w:rsid w:val="009E4C75"/>
    <w:rsid w:val="009E57C4"/>
    <w:rsid w:val="009E6437"/>
    <w:rsid w:val="009E7AA6"/>
    <w:rsid w:val="009E7E17"/>
    <w:rsid w:val="009F104D"/>
    <w:rsid w:val="009F28E7"/>
    <w:rsid w:val="009F7236"/>
    <w:rsid w:val="00A01481"/>
    <w:rsid w:val="00A065F2"/>
    <w:rsid w:val="00A107B0"/>
    <w:rsid w:val="00A10F8F"/>
    <w:rsid w:val="00A17646"/>
    <w:rsid w:val="00A20BD8"/>
    <w:rsid w:val="00A22389"/>
    <w:rsid w:val="00A22E84"/>
    <w:rsid w:val="00A24FEC"/>
    <w:rsid w:val="00A25C02"/>
    <w:rsid w:val="00A25C69"/>
    <w:rsid w:val="00A25F74"/>
    <w:rsid w:val="00A3043E"/>
    <w:rsid w:val="00A311C8"/>
    <w:rsid w:val="00A3291B"/>
    <w:rsid w:val="00A34C4E"/>
    <w:rsid w:val="00A3693F"/>
    <w:rsid w:val="00A375DB"/>
    <w:rsid w:val="00A405FC"/>
    <w:rsid w:val="00A409BC"/>
    <w:rsid w:val="00A41E40"/>
    <w:rsid w:val="00A454D0"/>
    <w:rsid w:val="00A46A1F"/>
    <w:rsid w:val="00A51716"/>
    <w:rsid w:val="00A518E5"/>
    <w:rsid w:val="00A52CB5"/>
    <w:rsid w:val="00A5399D"/>
    <w:rsid w:val="00A53DC9"/>
    <w:rsid w:val="00A540B0"/>
    <w:rsid w:val="00A55BB7"/>
    <w:rsid w:val="00A55C18"/>
    <w:rsid w:val="00A5602D"/>
    <w:rsid w:val="00A578BF"/>
    <w:rsid w:val="00A60A0C"/>
    <w:rsid w:val="00A62D97"/>
    <w:rsid w:val="00A62F52"/>
    <w:rsid w:val="00A634D0"/>
    <w:rsid w:val="00A63907"/>
    <w:rsid w:val="00A63DC8"/>
    <w:rsid w:val="00A63E79"/>
    <w:rsid w:val="00A65F48"/>
    <w:rsid w:val="00A66268"/>
    <w:rsid w:val="00A67BB8"/>
    <w:rsid w:val="00A70703"/>
    <w:rsid w:val="00A71611"/>
    <w:rsid w:val="00A71EA5"/>
    <w:rsid w:val="00A72FEE"/>
    <w:rsid w:val="00A73663"/>
    <w:rsid w:val="00A7651A"/>
    <w:rsid w:val="00A76A85"/>
    <w:rsid w:val="00A77EBB"/>
    <w:rsid w:val="00A818BE"/>
    <w:rsid w:val="00A81F9F"/>
    <w:rsid w:val="00A83E58"/>
    <w:rsid w:val="00A87252"/>
    <w:rsid w:val="00A90FCC"/>
    <w:rsid w:val="00A9170F"/>
    <w:rsid w:val="00A93431"/>
    <w:rsid w:val="00A9356A"/>
    <w:rsid w:val="00A942FD"/>
    <w:rsid w:val="00A94472"/>
    <w:rsid w:val="00A97187"/>
    <w:rsid w:val="00A97617"/>
    <w:rsid w:val="00AA1D42"/>
    <w:rsid w:val="00AA36C1"/>
    <w:rsid w:val="00AA45E7"/>
    <w:rsid w:val="00AA5084"/>
    <w:rsid w:val="00AB0524"/>
    <w:rsid w:val="00AB1928"/>
    <w:rsid w:val="00AB1B41"/>
    <w:rsid w:val="00AB1FC7"/>
    <w:rsid w:val="00AB2E94"/>
    <w:rsid w:val="00AB33BD"/>
    <w:rsid w:val="00AB4FB7"/>
    <w:rsid w:val="00AB5EE0"/>
    <w:rsid w:val="00AB7AE2"/>
    <w:rsid w:val="00AC07FB"/>
    <w:rsid w:val="00AC110F"/>
    <w:rsid w:val="00AC1B9B"/>
    <w:rsid w:val="00AC2F85"/>
    <w:rsid w:val="00AC547F"/>
    <w:rsid w:val="00AC563D"/>
    <w:rsid w:val="00AC5A55"/>
    <w:rsid w:val="00AC6785"/>
    <w:rsid w:val="00AD036C"/>
    <w:rsid w:val="00AD0B39"/>
    <w:rsid w:val="00AD1E6A"/>
    <w:rsid w:val="00AD1EA8"/>
    <w:rsid w:val="00AD3D74"/>
    <w:rsid w:val="00AD4FC0"/>
    <w:rsid w:val="00AE062E"/>
    <w:rsid w:val="00AE2E42"/>
    <w:rsid w:val="00AE3CF9"/>
    <w:rsid w:val="00AE53F6"/>
    <w:rsid w:val="00AE6D1B"/>
    <w:rsid w:val="00AF13C2"/>
    <w:rsid w:val="00AF211A"/>
    <w:rsid w:val="00AF46D6"/>
    <w:rsid w:val="00AF472C"/>
    <w:rsid w:val="00AF4EB9"/>
    <w:rsid w:val="00AF4F1B"/>
    <w:rsid w:val="00AF6B7B"/>
    <w:rsid w:val="00AF7256"/>
    <w:rsid w:val="00B016A9"/>
    <w:rsid w:val="00B04144"/>
    <w:rsid w:val="00B05370"/>
    <w:rsid w:val="00B07E2D"/>
    <w:rsid w:val="00B1069D"/>
    <w:rsid w:val="00B11F81"/>
    <w:rsid w:val="00B13DCC"/>
    <w:rsid w:val="00B167A4"/>
    <w:rsid w:val="00B16FFA"/>
    <w:rsid w:val="00B20D1F"/>
    <w:rsid w:val="00B22844"/>
    <w:rsid w:val="00B22A29"/>
    <w:rsid w:val="00B22CD8"/>
    <w:rsid w:val="00B23333"/>
    <w:rsid w:val="00B237A9"/>
    <w:rsid w:val="00B240DA"/>
    <w:rsid w:val="00B242FE"/>
    <w:rsid w:val="00B24BA6"/>
    <w:rsid w:val="00B24F39"/>
    <w:rsid w:val="00B26530"/>
    <w:rsid w:val="00B2765B"/>
    <w:rsid w:val="00B30929"/>
    <w:rsid w:val="00B30B87"/>
    <w:rsid w:val="00B31ACB"/>
    <w:rsid w:val="00B31CAA"/>
    <w:rsid w:val="00B32FDE"/>
    <w:rsid w:val="00B36600"/>
    <w:rsid w:val="00B4087F"/>
    <w:rsid w:val="00B40DE7"/>
    <w:rsid w:val="00B4148D"/>
    <w:rsid w:val="00B43038"/>
    <w:rsid w:val="00B432D8"/>
    <w:rsid w:val="00B4441D"/>
    <w:rsid w:val="00B46307"/>
    <w:rsid w:val="00B5031E"/>
    <w:rsid w:val="00B513AE"/>
    <w:rsid w:val="00B52965"/>
    <w:rsid w:val="00B54071"/>
    <w:rsid w:val="00B55E39"/>
    <w:rsid w:val="00B56647"/>
    <w:rsid w:val="00B56B7F"/>
    <w:rsid w:val="00B579A5"/>
    <w:rsid w:val="00B602F6"/>
    <w:rsid w:val="00B61D6E"/>
    <w:rsid w:val="00B639AC"/>
    <w:rsid w:val="00B64B64"/>
    <w:rsid w:val="00B64D4B"/>
    <w:rsid w:val="00B658C1"/>
    <w:rsid w:val="00B67845"/>
    <w:rsid w:val="00B72F29"/>
    <w:rsid w:val="00B74A29"/>
    <w:rsid w:val="00B761E5"/>
    <w:rsid w:val="00B7679F"/>
    <w:rsid w:val="00B76901"/>
    <w:rsid w:val="00B76C37"/>
    <w:rsid w:val="00B778B8"/>
    <w:rsid w:val="00B81A34"/>
    <w:rsid w:val="00B8545D"/>
    <w:rsid w:val="00B862A1"/>
    <w:rsid w:val="00B87F43"/>
    <w:rsid w:val="00B902DF"/>
    <w:rsid w:val="00B90367"/>
    <w:rsid w:val="00B95917"/>
    <w:rsid w:val="00B977B2"/>
    <w:rsid w:val="00BA037C"/>
    <w:rsid w:val="00BA0A29"/>
    <w:rsid w:val="00BA15BC"/>
    <w:rsid w:val="00BA3E6E"/>
    <w:rsid w:val="00BA41B2"/>
    <w:rsid w:val="00BA6942"/>
    <w:rsid w:val="00BA7C5C"/>
    <w:rsid w:val="00BA7CC6"/>
    <w:rsid w:val="00BB00B4"/>
    <w:rsid w:val="00BB018D"/>
    <w:rsid w:val="00BB09A1"/>
    <w:rsid w:val="00BB2445"/>
    <w:rsid w:val="00BB42B5"/>
    <w:rsid w:val="00BB46D9"/>
    <w:rsid w:val="00BB518F"/>
    <w:rsid w:val="00BB7514"/>
    <w:rsid w:val="00BC19F9"/>
    <w:rsid w:val="00BC2305"/>
    <w:rsid w:val="00BC39FB"/>
    <w:rsid w:val="00BC3E64"/>
    <w:rsid w:val="00BC648B"/>
    <w:rsid w:val="00BD01B9"/>
    <w:rsid w:val="00BD0661"/>
    <w:rsid w:val="00BD226B"/>
    <w:rsid w:val="00BD2E25"/>
    <w:rsid w:val="00BD35A3"/>
    <w:rsid w:val="00BD384D"/>
    <w:rsid w:val="00BD5350"/>
    <w:rsid w:val="00BD6D84"/>
    <w:rsid w:val="00BE01FD"/>
    <w:rsid w:val="00BE0898"/>
    <w:rsid w:val="00BE11A6"/>
    <w:rsid w:val="00BE276E"/>
    <w:rsid w:val="00BE2A6C"/>
    <w:rsid w:val="00BE3970"/>
    <w:rsid w:val="00BF75F6"/>
    <w:rsid w:val="00BF7BB8"/>
    <w:rsid w:val="00C0337D"/>
    <w:rsid w:val="00C03AE0"/>
    <w:rsid w:val="00C074B6"/>
    <w:rsid w:val="00C1096F"/>
    <w:rsid w:val="00C11746"/>
    <w:rsid w:val="00C130BC"/>
    <w:rsid w:val="00C15915"/>
    <w:rsid w:val="00C17369"/>
    <w:rsid w:val="00C2073A"/>
    <w:rsid w:val="00C20F9F"/>
    <w:rsid w:val="00C2114E"/>
    <w:rsid w:val="00C224C5"/>
    <w:rsid w:val="00C22B05"/>
    <w:rsid w:val="00C22B14"/>
    <w:rsid w:val="00C24242"/>
    <w:rsid w:val="00C24ED6"/>
    <w:rsid w:val="00C27829"/>
    <w:rsid w:val="00C27998"/>
    <w:rsid w:val="00C30367"/>
    <w:rsid w:val="00C303EB"/>
    <w:rsid w:val="00C31320"/>
    <w:rsid w:val="00C318C8"/>
    <w:rsid w:val="00C334F7"/>
    <w:rsid w:val="00C347FB"/>
    <w:rsid w:val="00C3720E"/>
    <w:rsid w:val="00C401D0"/>
    <w:rsid w:val="00C40725"/>
    <w:rsid w:val="00C43E58"/>
    <w:rsid w:val="00C44354"/>
    <w:rsid w:val="00C44FD2"/>
    <w:rsid w:val="00C5005B"/>
    <w:rsid w:val="00C509BD"/>
    <w:rsid w:val="00C51789"/>
    <w:rsid w:val="00C521FE"/>
    <w:rsid w:val="00C55FAA"/>
    <w:rsid w:val="00C564BD"/>
    <w:rsid w:val="00C57EBF"/>
    <w:rsid w:val="00C60325"/>
    <w:rsid w:val="00C60CD2"/>
    <w:rsid w:val="00C612E3"/>
    <w:rsid w:val="00C61ED4"/>
    <w:rsid w:val="00C62247"/>
    <w:rsid w:val="00C6331D"/>
    <w:rsid w:val="00C63BCC"/>
    <w:rsid w:val="00C65D59"/>
    <w:rsid w:val="00C6651E"/>
    <w:rsid w:val="00C67417"/>
    <w:rsid w:val="00C70B9B"/>
    <w:rsid w:val="00C70C57"/>
    <w:rsid w:val="00C7228A"/>
    <w:rsid w:val="00C7307F"/>
    <w:rsid w:val="00C73456"/>
    <w:rsid w:val="00C74565"/>
    <w:rsid w:val="00C7606A"/>
    <w:rsid w:val="00C76695"/>
    <w:rsid w:val="00C80918"/>
    <w:rsid w:val="00C879DB"/>
    <w:rsid w:val="00C910CA"/>
    <w:rsid w:val="00C92714"/>
    <w:rsid w:val="00C929F3"/>
    <w:rsid w:val="00C92F92"/>
    <w:rsid w:val="00C9410D"/>
    <w:rsid w:val="00C94275"/>
    <w:rsid w:val="00C9472A"/>
    <w:rsid w:val="00C94AEB"/>
    <w:rsid w:val="00C954AA"/>
    <w:rsid w:val="00C95848"/>
    <w:rsid w:val="00C970A3"/>
    <w:rsid w:val="00C97906"/>
    <w:rsid w:val="00CA0029"/>
    <w:rsid w:val="00CA1C40"/>
    <w:rsid w:val="00CA1F39"/>
    <w:rsid w:val="00CA32CF"/>
    <w:rsid w:val="00CA5FC5"/>
    <w:rsid w:val="00CA60CB"/>
    <w:rsid w:val="00CA6573"/>
    <w:rsid w:val="00CA662C"/>
    <w:rsid w:val="00CA6BE9"/>
    <w:rsid w:val="00CA7324"/>
    <w:rsid w:val="00CB17AB"/>
    <w:rsid w:val="00CB2787"/>
    <w:rsid w:val="00CB31D3"/>
    <w:rsid w:val="00CB3469"/>
    <w:rsid w:val="00CB3D3B"/>
    <w:rsid w:val="00CB49E2"/>
    <w:rsid w:val="00CB51E7"/>
    <w:rsid w:val="00CB5910"/>
    <w:rsid w:val="00CC0213"/>
    <w:rsid w:val="00CC0372"/>
    <w:rsid w:val="00CC08CD"/>
    <w:rsid w:val="00CC100E"/>
    <w:rsid w:val="00CC41D9"/>
    <w:rsid w:val="00CC612E"/>
    <w:rsid w:val="00CC65E8"/>
    <w:rsid w:val="00CD2176"/>
    <w:rsid w:val="00CD6D4B"/>
    <w:rsid w:val="00CD6EEF"/>
    <w:rsid w:val="00CE07B0"/>
    <w:rsid w:val="00CE0CBE"/>
    <w:rsid w:val="00CE1248"/>
    <w:rsid w:val="00CE19E4"/>
    <w:rsid w:val="00CE3AB2"/>
    <w:rsid w:val="00CE4B57"/>
    <w:rsid w:val="00CE58D9"/>
    <w:rsid w:val="00CE5E1F"/>
    <w:rsid w:val="00CE632B"/>
    <w:rsid w:val="00CE69B6"/>
    <w:rsid w:val="00CE7255"/>
    <w:rsid w:val="00CF33FA"/>
    <w:rsid w:val="00CF3D32"/>
    <w:rsid w:val="00CF43C4"/>
    <w:rsid w:val="00CF6442"/>
    <w:rsid w:val="00CF6EC1"/>
    <w:rsid w:val="00D00B4A"/>
    <w:rsid w:val="00D01A91"/>
    <w:rsid w:val="00D02A55"/>
    <w:rsid w:val="00D04923"/>
    <w:rsid w:val="00D111D5"/>
    <w:rsid w:val="00D139F4"/>
    <w:rsid w:val="00D13FAE"/>
    <w:rsid w:val="00D1424A"/>
    <w:rsid w:val="00D17D7C"/>
    <w:rsid w:val="00D2133C"/>
    <w:rsid w:val="00D258CC"/>
    <w:rsid w:val="00D30535"/>
    <w:rsid w:val="00D30F66"/>
    <w:rsid w:val="00D31815"/>
    <w:rsid w:val="00D32C67"/>
    <w:rsid w:val="00D361AB"/>
    <w:rsid w:val="00D3673C"/>
    <w:rsid w:val="00D411FE"/>
    <w:rsid w:val="00D42A27"/>
    <w:rsid w:val="00D43330"/>
    <w:rsid w:val="00D450AA"/>
    <w:rsid w:val="00D4589F"/>
    <w:rsid w:val="00D46DE0"/>
    <w:rsid w:val="00D50C7F"/>
    <w:rsid w:val="00D5240A"/>
    <w:rsid w:val="00D524F4"/>
    <w:rsid w:val="00D53128"/>
    <w:rsid w:val="00D53523"/>
    <w:rsid w:val="00D53800"/>
    <w:rsid w:val="00D54E76"/>
    <w:rsid w:val="00D623E2"/>
    <w:rsid w:val="00D63EAB"/>
    <w:rsid w:val="00D64325"/>
    <w:rsid w:val="00D652C9"/>
    <w:rsid w:val="00D659F8"/>
    <w:rsid w:val="00D65C75"/>
    <w:rsid w:val="00D67948"/>
    <w:rsid w:val="00D706E3"/>
    <w:rsid w:val="00D73F01"/>
    <w:rsid w:val="00D74E7E"/>
    <w:rsid w:val="00D7509C"/>
    <w:rsid w:val="00D75EB1"/>
    <w:rsid w:val="00D75F39"/>
    <w:rsid w:val="00D76596"/>
    <w:rsid w:val="00D76DCA"/>
    <w:rsid w:val="00D779DF"/>
    <w:rsid w:val="00D77F3B"/>
    <w:rsid w:val="00D8061A"/>
    <w:rsid w:val="00D820DF"/>
    <w:rsid w:val="00D82425"/>
    <w:rsid w:val="00D83F60"/>
    <w:rsid w:val="00D847B7"/>
    <w:rsid w:val="00D868A0"/>
    <w:rsid w:val="00D869D5"/>
    <w:rsid w:val="00D90FEB"/>
    <w:rsid w:val="00D922AC"/>
    <w:rsid w:val="00D92465"/>
    <w:rsid w:val="00D92B66"/>
    <w:rsid w:val="00D936A3"/>
    <w:rsid w:val="00D9370A"/>
    <w:rsid w:val="00D95CC4"/>
    <w:rsid w:val="00D95F0A"/>
    <w:rsid w:val="00D974A2"/>
    <w:rsid w:val="00DA0D9F"/>
    <w:rsid w:val="00DA0E77"/>
    <w:rsid w:val="00DA2282"/>
    <w:rsid w:val="00DA3384"/>
    <w:rsid w:val="00DA3FF0"/>
    <w:rsid w:val="00DA40BD"/>
    <w:rsid w:val="00DA500C"/>
    <w:rsid w:val="00DA5366"/>
    <w:rsid w:val="00DA59CA"/>
    <w:rsid w:val="00DA5E70"/>
    <w:rsid w:val="00DB0C27"/>
    <w:rsid w:val="00DB1887"/>
    <w:rsid w:val="00DB2563"/>
    <w:rsid w:val="00DB41BA"/>
    <w:rsid w:val="00DB519A"/>
    <w:rsid w:val="00DB52AA"/>
    <w:rsid w:val="00DB6D65"/>
    <w:rsid w:val="00DB7DA8"/>
    <w:rsid w:val="00DC0157"/>
    <w:rsid w:val="00DC1881"/>
    <w:rsid w:val="00DC4EC5"/>
    <w:rsid w:val="00DC53F4"/>
    <w:rsid w:val="00DD020C"/>
    <w:rsid w:val="00DD09AA"/>
    <w:rsid w:val="00DD0ECF"/>
    <w:rsid w:val="00DD245B"/>
    <w:rsid w:val="00DD2BF9"/>
    <w:rsid w:val="00DD2DCF"/>
    <w:rsid w:val="00DD2F9E"/>
    <w:rsid w:val="00DD3F79"/>
    <w:rsid w:val="00DD541F"/>
    <w:rsid w:val="00DE1B2E"/>
    <w:rsid w:val="00DE1D8E"/>
    <w:rsid w:val="00DE1EFA"/>
    <w:rsid w:val="00DE4C0D"/>
    <w:rsid w:val="00DE5483"/>
    <w:rsid w:val="00DE7655"/>
    <w:rsid w:val="00DF07F0"/>
    <w:rsid w:val="00DF3A57"/>
    <w:rsid w:val="00DF68C4"/>
    <w:rsid w:val="00DF71E0"/>
    <w:rsid w:val="00DF760C"/>
    <w:rsid w:val="00DF7C77"/>
    <w:rsid w:val="00E03196"/>
    <w:rsid w:val="00E0325E"/>
    <w:rsid w:val="00E03561"/>
    <w:rsid w:val="00E04091"/>
    <w:rsid w:val="00E06702"/>
    <w:rsid w:val="00E10B75"/>
    <w:rsid w:val="00E125A9"/>
    <w:rsid w:val="00E12F9F"/>
    <w:rsid w:val="00E132DD"/>
    <w:rsid w:val="00E154A9"/>
    <w:rsid w:val="00E1771E"/>
    <w:rsid w:val="00E20D6B"/>
    <w:rsid w:val="00E211FE"/>
    <w:rsid w:val="00E214F8"/>
    <w:rsid w:val="00E22C81"/>
    <w:rsid w:val="00E23156"/>
    <w:rsid w:val="00E2330C"/>
    <w:rsid w:val="00E24C49"/>
    <w:rsid w:val="00E25E5B"/>
    <w:rsid w:val="00E30C8E"/>
    <w:rsid w:val="00E31755"/>
    <w:rsid w:val="00E318B9"/>
    <w:rsid w:val="00E31CEC"/>
    <w:rsid w:val="00E32076"/>
    <w:rsid w:val="00E32688"/>
    <w:rsid w:val="00E3658D"/>
    <w:rsid w:val="00E37ED8"/>
    <w:rsid w:val="00E404E2"/>
    <w:rsid w:val="00E4223E"/>
    <w:rsid w:val="00E4298E"/>
    <w:rsid w:val="00E43440"/>
    <w:rsid w:val="00E43498"/>
    <w:rsid w:val="00E45303"/>
    <w:rsid w:val="00E45856"/>
    <w:rsid w:val="00E4793B"/>
    <w:rsid w:val="00E505A8"/>
    <w:rsid w:val="00E509F1"/>
    <w:rsid w:val="00E50AEF"/>
    <w:rsid w:val="00E51408"/>
    <w:rsid w:val="00E535D4"/>
    <w:rsid w:val="00E53605"/>
    <w:rsid w:val="00E55BDF"/>
    <w:rsid w:val="00E576A2"/>
    <w:rsid w:val="00E577AB"/>
    <w:rsid w:val="00E645D8"/>
    <w:rsid w:val="00E647C7"/>
    <w:rsid w:val="00E64B30"/>
    <w:rsid w:val="00E64FE9"/>
    <w:rsid w:val="00E72FCF"/>
    <w:rsid w:val="00E7527B"/>
    <w:rsid w:val="00E84A6B"/>
    <w:rsid w:val="00E85C0B"/>
    <w:rsid w:val="00E91B7E"/>
    <w:rsid w:val="00E93731"/>
    <w:rsid w:val="00E9393F"/>
    <w:rsid w:val="00E93B94"/>
    <w:rsid w:val="00E941EE"/>
    <w:rsid w:val="00E955E6"/>
    <w:rsid w:val="00E971B6"/>
    <w:rsid w:val="00E978C1"/>
    <w:rsid w:val="00EA2137"/>
    <w:rsid w:val="00EA2CEA"/>
    <w:rsid w:val="00EA5C7C"/>
    <w:rsid w:val="00EA6403"/>
    <w:rsid w:val="00EA7163"/>
    <w:rsid w:val="00EB35EF"/>
    <w:rsid w:val="00EB4015"/>
    <w:rsid w:val="00EB4D7A"/>
    <w:rsid w:val="00EB535C"/>
    <w:rsid w:val="00EB604D"/>
    <w:rsid w:val="00EB634B"/>
    <w:rsid w:val="00EB6A83"/>
    <w:rsid w:val="00EB70CC"/>
    <w:rsid w:val="00EB759E"/>
    <w:rsid w:val="00EC0577"/>
    <w:rsid w:val="00EC07B8"/>
    <w:rsid w:val="00EC26DB"/>
    <w:rsid w:val="00EC49B1"/>
    <w:rsid w:val="00EC5626"/>
    <w:rsid w:val="00EC598D"/>
    <w:rsid w:val="00EC669E"/>
    <w:rsid w:val="00EC7CA6"/>
    <w:rsid w:val="00ED03CB"/>
    <w:rsid w:val="00ED08A2"/>
    <w:rsid w:val="00ED2AC5"/>
    <w:rsid w:val="00ED3D8D"/>
    <w:rsid w:val="00ED3DF7"/>
    <w:rsid w:val="00ED5CD3"/>
    <w:rsid w:val="00ED5D58"/>
    <w:rsid w:val="00ED61BF"/>
    <w:rsid w:val="00ED6E33"/>
    <w:rsid w:val="00EE009C"/>
    <w:rsid w:val="00EE2B9A"/>
    <w:rsid w:val="00EE365A"/>
    <w:rsid w:val="00EE38B6"/>
    <w:rsid w:val="00EE4B27"/>
    <w:rsid w:val="00EE5A7E"/>
    <w:rsid w:val="00EE7330"/>
    <w:rsid w:val="00EE745F"/>
    <w:rsid w:val="00EE768B"/>
    <w:rsid w:val="00EE7906"/>
    <w:rsid w:val="00EE7DA6"/>
    <w:rsid w:val="00EF36EE"/>
    <w:rsid w:val="00EF5C9C"/>
    <w:rsid w:val="00EF70AD"/>
    <w:rsid w:val="00EF72ED"/>
    <w:rsid w:val="00F006AC"/>
    <w:rsid w:val="00F01AA5"/>
    <w:rsid w:val="00F01BE0"/>
    <w:rsid w:val="00F02437"/>
    <w:rsid w:val="00F02D29"/>
    <w:rsid w:val="00F038D9"/>
    <w:rsid w:val="00F0503E"/>
    <w:rsid w:val="00F05E19"/>
    <w:rsid w:val="00F100C1"/>
    <w:rsid w:val="00F11B69"/>
    <w:rsid w:val="00F129C3"/>
    <w:rsid w:val="00F12FE4"/>
    <w:rsid w:val="00F13D86"/>
    <w:rsid w:val="00F147AA"/>
    <w:rsid w:val="00F15202"/>
    <w:rsid w:val="00F20B7E"/>
    <w:rsid w:val="00F21642"/>
    <w:rsid w:val="00F23244"/>
    <w:rsid w:val="00F266FF"/>
    <w:rsid w:val="00F274DE"/>
    <w:rsid w:val="00F27E55"/>
    <w:rsid w:val="00F3406A"/>
    <w:rsid w:val="00F340C0"/>
    <w:rsid w:val="00F35FB2"/>
    <w:rsid w:val="00F4044F"/>
    <w:rsid w:val="00F40C59"/>
    <w:rsid w:val="00F43264"/>
    <w:rsid w:val="00F463C7"/>
    <w:rsid w:val="00F60777"/>
    <w:rsid w:val="00F61A8E"/>
    <w:rsid w:val="00F620E7"/>
    <w:rsid w:val="00F621AA"/>
    <w:rsid w:val="00F6270B"/>
    <w:rsid w:val="00F64A0E"/>
    <w:rsid w:val="00F657D7"/>
    <w:rsid w:val="00F65A3D"/>
    <w:rsid w:val="00F66A66"/>
    <w:rsid w:val="00F66DA5"/>
    <w:rsid w:val="00F7005B"/>
    <w:rsid w:val="00F70064"/>
    <w:rsid w:val="00F7096A"/>
    <w:rsid w:val="00F71811"/>
    <w:rsid w:val="00F719ED"/>
    <w:rsid w:val="00F7407F"/>
    <w:rsid w:val="00F74986"/>
    <w:rsid w:val="00F80531"/>
    <w:rsid w:val="00F80A4D"/>
    <w:rsid w:val="00F81BA0"/>
    <w:rsid w:val="00F8200D"/>
    <w:rsid w:val="00F8250B"/>
    <w:rsid w:val="00F840F5"/>
    <w:rsid w:val="00F84482"/>
    <w:rsid w:val="00F85BA8"/>
    <w:rsid w:val="00F90598"/>
    <w:rsid w:val="00F91DD4"/>
    <w:rsid w:val="00F92B47"/>
    <w:rsid w:val="00F93146"/>
    <w:rsid w:val="00F9461A"/>
    <w:rsid w:val="00F96BB8"/>
    <w:rsid w:val="00F96F08"/>
    <w:rsid w:val="00F97D4A"/>
    <w:rsid w:val="00F97F00"/>
    <w:rsid w:val="00FA18B9"/>
    <w:rsid w:val="00FA1FB5"/>
    <w:rsid w:val="00FA3E37"/>
    <w:rsid w:val="00FA4A4A"/>
    <w:rsid w:val="00FA4FA1"/>
    <w:rsid w:val="00FA5BFB"/>
    <w:rsid w:val="00FA5C45"/>
    <w:rsid w:val="00FA6056"/>
    <w:rsid w:val="00FA65EB"/>
    <w:rsid w:val="00FA6644"/>
    <w:rsid w:val="00FA6E1A"/>
    <w:rsid w:val="00FA7C44"/>
    <w:rsid w:val="00FA7C5B"/>
    <w:rsid w:val="00FB4888"/>
    <w:rsid w:val="00FB6E05"/>
    <w:rsid w:val="00FB7660"/>
    <w:rsid w:val="00FC0B26"/>
    <w:rsid w:val="00FC2B61"/>
    <w:rsid w:val="00FC334D"/>
    <w:rsid w:val="00FC3A48"/>
    <w:rsid w:val="00FC3C00"/>
    <w:rsid w:val="00FC539B"/>
    <w:rsid w:val="00FC5F9A"/>
    <w:rsid w:val="00FC612A"/>
    <w:rsid w:val="00FC638A"/>
    <w:rsid w:val="00FD18B3"/>
    <w:rsid w:val="00FD1A7F"/>
    <w:rsid w:val="00FD366C"/>
    <w:rsid w:val="00FD753A"/>
    <w:rsid w:val="00FE156A"/>
    <w:rsid w:val="00FE1903"/>
    <w:rsid w:val="00FE1DD1"/>
    <w:rsid w:val="00FE573B"/>
    <w:rsid w:val="00FF0221"/>
    <w:rsid w:val="00FF137A"/>
    <w:rsid w:val="00FF2050"/>
    <w:rsid w:val="00FF3150"/>
    <w:rsid w:val="00FF6C3C"/>
    <w:rsid w:val="00FF6E7E"/>
    <w:rsid w:val="06D0D49D"/>
    <w:rsid w:val="070A7848"/>
    <w:rsid w:val="0E3E9496"/>
    <w:rsid w:val="0E5F9CB4"/>
    <w:rsid w:val="0F0EE4C1"/>
    <w:rsid w:val="121A43C3"/>
    <w:rsid w:val="12496A3B"/>
    <w:rsid w:val="14743F25"/>
    <w:rsid w:val="15A77CF7"/>
    <w:rsid w:val="15EFE608"/>
    <w:rsid w:val="1D954282"/>
    <w:rsid w:val="1DFBF6E4"/>
    <w:rsid w:val="1F4C11C0"/>
    <w:rsid w:val="1FED5282"/>
    <w:rsid w:val="24BE5892"/>
    <w:rsid w:val="26882CCD"/>
    <w:rsid w:val="26F7BF4C"/>
    <w:rsid w:val="297DC4A8"/>
    <w:rsid w:val="2F8E5407"/>
    <w:rsid w:val="315601A1"/>
    <w:rsid w:val="316A5656"/>
    <w:rsid w:val="31FE24B3"/>
    <w:rsid w:val="326A457D"/>
    <w:rsid w:val="34674028"/>
    <w:rsid w:val="36EE39A5"/>
    <w:rsid w:val="39F73F8B"/>
    <w:rsid w:val="3A00635D"/>
    <w:rsid w:val="3A6D81E3"/>
    <w:rsid w:val="3BE3D02D"/>
    <w:rsid w:val="3BFF0C49"/>
    <w:rsid w:val="3E985826"/>
    <w:rsid w:val="3F6203BF"/>
    <w:rsid w:val="3FF79F2F"/>
    <w:rsid w:val="3FFA43A6"/>
    <w:rsid w:val="3FFADB85"/>
    <w:rsid w:val="3FFD8422"/>
    <w:rsid w:val="456D246E"/>
    <w:rsid w:val="457B68DE"/>
    <w:rsid w:val="462420DE"/>
    <w:rsid w:val="4693A455"/>
    <w:rsid w:val="49D1242C"/>
    <w:rsid w:val="53DBFC72"/>
    <w:rsid w:val="54140328"/>
    <w:rsid w:val="55FD291D"/>
    <w:rsid w:val="56DD3CBA"/>
    <w:rsid w:val="570E7D91"/>
    <w:rsid w:val="5A49DD30"/>
    <w:rsid w:val="5A874152"/>
    <w:rsid w:val="5B0F4579"/>
    <w:rsid w:val="5B47CE77"/>
    <w:rsid w:val="5BBF1214"/>
    <w:rsid w:val="5EB79E98"/>
    <w:rsid w:val="5EE6136B"/>
    <w:rsid w:val="5F236657"/>
    <w:rsid w:val="5F329599"/>
    <w:rsid w:val="60A80188"/>
    <w:rsid w:val="62FF9A58"/>
    <w:rsid w:val="67E56CE4"/>
    <w:rsid w:val="6843BC62"/>
    <w:rsid w:val="691275D4"/>
    <w:rsid w:val="6962E34B"/>
    <w:rsid w:val="69E5BA5C"/>
    <w:rsid w:val="6AEC7E8E"/>
    <w:rsid w:val="6B0278D1"/>
    <w:rsid w:val="6C286E44"/>
    <w:rsid w:val="6C76434F"/>
    <w:rsid w:val="6CA8A0BD"/>
    <w:rsid w:val="6CF94B0A"/>
    <w:rsid w:val="6D074150"/>
    <w:rsid w:val="6E6F6473"/>
    <w:rsid w:val="6EBD79AA"/>
    <w:rsid w:val="6EDFE721"/>
    <w:rsid w:val="6F7FE3F0"/>
    <w:rsid w:val="6FC7F1BE"/>
    <w:rsid w:val="71B722E2"/>
    <w:rsid w:val="727428C1"/>
    <w:rsid w:val="737F5333"/>
    <w:rsid w:val="73FF9F8C"/>
    <w:rsid w:val="757BF952"/>
    <w:rsid w:val="767F27D6"/>
    <w:rsid w:val="76F43E69"/>
    <w:rsid w:val="772E1279"/>
    <w:rsid w:val="776FEFA2"/>
    <w:rsid w:val="77EECA84"/>
    <w:rsid w:val="79E13B9D"/>
    <w:rsid w:val="7A6E44C1"/>
    <w:rsid w:val="7AA3A95B"/>
    <w:rsid w:val="7AA9E0DC"/>
    <w:rsid w:val="7AD659AC"/>
    <w:rsid w:val="7B751B3D"/>
    <w:rsid w:val="7BF5E087"/>
    <w:rsid w:val="7BFBF581"/>
    <w:rsid w:val="7DB7BF42"/>
    <w:rsid w:val="7DBB01E5"/>
    <w:rsid w:val="7DBBD3E5"/>
    <w:rsid w:val="7E6FD489"/>
    <w:rsid w:val="7E7F0942"/>
    <w:rsid w:val="7EB31986"/>
    <w:rsid w:val="7EBF876E"/>
    <w:rsid w:val="7ECCADB2"/>
    <w:rsid w:val="7EEEEF79"/>
    <w:rsid w:val="7EF62DE7"/>
    <w:rsid w:val="7F6FC3DB"/>
    <w:rsid w:val="7F7D579B"/>
    <w:rsid w:val="7F7D7656"/>
    <w:rsid w:val="7F992501"/>
    <w:rsid w:val="7FA2C79D"/>
    <w:rsid w:val="7FE3032F"/>
    <w:rsid w:val="7FEC6F91"/>
    <w:rsid w:val="7FFFB156"/>
    <w:rsid w:val="9BAE45FC"/>
    <w:rsid w:val="9EF63205"/>
    <w:rsid w:val="A3DE6C07"/>
    <w:rsid w:val="AAD38468"/>
    <w:rsid w:val="ABEE53F4"/>
    <w:rsid w:val="B57E36BC"/>
    <w:rsid w:val="B65A7AAE"/>
    <w:rsid w:val="BB6C1E6C"/>
    <w:rsid w:val="BBCB115D"/>
    <w:rsid w:val="BCF5EDDE"/>
    <w:rsid w:val="BE7E8A05"/>
    <w:rsid w:val="BEBFB4D1"/>
    <w:rsid w:val="BF3F4E4A"/>
    <w:rsid w:val="BFBCA0CF"/>
    <w:rsid w:val="BFCEF061"/>
    <w:rsid w:val="BFDF84EB"/>
    <w:rsid w:val="BFF76D42"/>
    <w:rsid w:val="BFF90683"/>
    <w:rsid w:val="C7FF8FB4"/>
    <w:rsid w:val="C8FF51BA"/>
    <w:rsid w:val="CB91F186"/>
    <w:rsid w:val="CBFF8685"/>
    <w:rsid w:val="CF4714AE"/>
    <w:rsid w:val="D37F4C68"/>
    <w:rsid w:val="D575FC31"/>
    <w:rsid w:val="D7E72850"/>
    <w:rsid w:val="D7F6DA9A"/>
    <w:rsid w:val="D9A77203"/>
    <w:rsid w:val="DBF91EB3"/>
    <w:rsid w:val="DDFF1BDE"/>
    <w:rsid w:val="DEFC8A9A"/>
    <w:rsid w:val="DFED06EF"/>
    <w:rsid w:val="E4BF6A47"/>
    <w:rsid w:val="E83D41F3"/>
    <w:rsid w:val="EAEABC4D"/>
    <w:rsid w:val="EBF78488"/>
    <w:rsid w:val="ED5FB71C"/>
    <w:rsid w:val="EFB334B9"/>
    <w:rsid w:val="F2FF8C5C"/>
    <w:rsid w:val="F3775739"/>
    <w:rsid w:val="F63F3C85"/>
    <w:rsid w:val="F6FC273B"/>
    <w:rsid w:val="F79D2B10"/>
    <w:rsid w:val="F7EE441C"/>
    <w:rsid w:val="F7EE4F89"/>
    <w:rsid w:val="F9B7C2FB"/>
    <w:rsid w:val="F9BFB2A1"/>
    <w:rsid w:val="FADD67B2"/>
    <w:rsid w:val="FB4E9BD6"/>
    <w:rsid w:val="FBEFE8AE"/>
    <w:rsid w:val="FBF7563B"/>
    <w:rsid w:val="FBFAD513"/>
    <w:rsid w:val="FBFCBB6D"/>
    <w:rsid w:val="FBFFA049"/>
    <w:rsid w:val="FC71C2BC"/>
    <w:rsid w:val="FCCECD9C"/>
    <w:rsid w:val="FCD82315"/>
    <w:rsid w:val="FCF704CC"/>
    <w:rsid w:val="FCFB4383"/>
    <w:rsid w:val="FDE71F62"/>
    <w:rsid w:val="FDFF4BA5"/>
    <w:rsid w:val="FDFFA44C"/>
    <w:rsid w:val="FEFE0680"/>
    <w:rsid w:val="FEFE7999"/>
    <w:rsid w:val="FF65430A"/>
    <w:rsid w:val="FF773F42"/>
    <w:rsid w:val="FFCC92C0"/>
    <w:rsid w:val="FFCF8EED"/>
    <w:rsid w:val="FFD722E0"/>
    <w:rsid w:val="FFEF958A"/>
    <w:rsid w:val="FFFCBACC"/>
    <w:rsid w:val="FFFD2A82"/>
    <w:rsid w:val="FFFFE76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nhideWhenUsed="0" w:uiPriority="0" w:semiHidden="0" w:name="footer"/>
    <w:lsdException w:uiPriority="99" w:name="index heading"/>
    <w:lsdException w:qFormat="1" w:uiPriority="35" w:semiHidden="0" w:name="caption"/>
    <w:lsdException w:qFormat="1" w:unhideWhenUsed="0"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EastAsia" w:cstheme="minorBidi"/>
      <w:sz w:val="22"/>
      <w:szCs w:val="22"/>
      <w:lang w:val="en-US" w:eastAsia="en-US" w:bidi="ar-SA"/>
    </w:rPr>
  </w:style>
  <w:style w:type="paragraph" w:styleId="2">
    <w:name w:val="heading 1"/>
    <w:next w:val="1"/>
    <w:link w:val="30"/>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Times New Roman" w:cs="Times New Roman"/>
      <w:sz w:val="36"/>
      <w:szCs w:val="20"/>
      <w:lang w:val="en-GB" w:eastAsia="ja-JP" w:bidi="ar-SA"/>
    </w:rPr>
  </w:style>
  <w:style w:type="paragraph" w:styleId="3">
    <w:name w:val="heading 2"/>
    <w:basedOn w:val="1"/>
    <w:next w:val="1"/>
    <w:link w:val="31"/>
    <w:unhideWhenUsed/>
    <w:qFormat/>
    <w:uiPriority w:val="9"/>
    <w:pPr>
      <w:keepNext/>
      <w:keepLines/>
      <w:numPr>
        <w:ilvl w:val="1"/>
        <w:numId w:val="1"/>
      </w:numPr>
      <w:spacing w:before="40" w:after="0"/>
      <w:outlineLvl w:val="1"/>
    </w:pPr>
    <w:rPr>
      <w:rFonts w:asciiTheme="majorHAnsi" w:hAnsiTheme="majorHAnsi" w:eastAsiaTheme="majorEastAsia" w:cstheme="majorBidi"/>
      <w:color w:val="2F5597" w:themeColor="accent1" w:themeShade="BF"/>
      <w:sz w:val="26"/>
      <w:szCs w:val="26"/>
    </w:rPr>
  </w:style>
  <w:style w:type="paragraph" w:styleId="4">
    <w:name w:val="heading 3"/>
    <w:basedOn w:val="1"/>
    <w:next w:val="1"/>
    <w:link w:val="32"/>
    <w:unhideWhenUsed/>
    <w:qFormat/>
    <w:uiPriority w:val="9"/>
    <w:pPr>
      <w:keepNext/>
      <w:keepLines/>
      <w:numPr>
        <w:ilvl w:val="2"/>
        <w:numId w:val="1"/>
      </w:numPr>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1"/>
    <w:next w:val="1"/>
    <w:link w:val="33"/>
    <w:semiHidden/>
    <w:unhideWhenUsed/>
    <w:qFormat/>
    <w:uiPriority w:val="9"/>
    <w:pPr>
      <w:keepNext/>
      <w:keepLines/>
      <w:numPr>
        <w:ilvl w:val="3"/>
        <w:numId w:val="1"/>
      </w:numPr>
      <w:spacing w:before="40" w:after="0"/>
      <w:outlineLvl w:val="3"/>
    </w:pPr>
    <w:rPr>
      <w:rFonts w:asciiTheme="majorHAnsi" w:hAnsiTheme="majorHAnsi" w:eastAsiaTheme="majorEastAsia" w:cstheme="majorBidi"/>
      <w:i/>
      <w:iCs/>
      <w:color w:val="2F5597" w:themeColor="accent1" w:themeShade="BF"/>
    </w:rPr>
  </w:style>
  <w:style w:type="paragraph" w:styleId="6">
    <w:name w:val="heading 5"/>
    <w:basedOn w:val="1"/>
    <w:next w:val="1"/>
    <w:link w:val="34"/>
    <w:semiHidden/>
    <w:unhideWhenUsed/>
    <w:qFormat/>
    <w:uiPriority w:val="9"/>
    <w:pPr>
      <w:keepNext/>
      <w:keepLines/>
      <w:numPr>
        <w:ilvl w:val="4"/>
        <w:numId w:val="1"/>
      </w:numPr>
      <w:spacing w:before="40" w:after="0"/>
      <w:outlineLvl w:val="4"/>
    </w:pPr>
    <w:rPr>
      <w:rFonts w:asciiTheme="majorHAnsi" w:hAnsiTheme="majorHAnsi" w:eastAsiaTheme="majorEastAsia" w:cstheme="majorBidi"/>
      <w:color w:val="2F5597" w:themeColor="accent1" w:themeShade="BF"/>
    </w:rPr>
  </w:style>
  <w:style w:type="paragraph" w:styleId="7">
    <w:name w:val="heading 6"/>
    <w:basedOn w:val="1"/>
    <w:next w:val="1"/>
    <w:link w:val="35"/>
    <w:semiHidden/>
    <w:unhideWhenUsed/>
    <w:qFormat/>
    <w:uiPriority w:val="9"/>
    <w:pPr>
      <w:keepNext/>
      <w:keepLines/>
      <w:numPr>
        <w:ilvl w:val="5"/>
        <w:numId w:val="1"/>
      </w:numPr>
      <w:spacing w:before="40" w:after="0"/>
      <w:outlineLvl w:val="5"/>
    </w:pPr>
    <w:rPr>
      <w:rFonts w:asciiTheme="majorHAnsi" w:hAnsiTheme="majorHAnsi" w:eastAsiaTheme="majorEastAsia" w:cstheme="majorBidi"/>
      <w:color w:val="203864" w:themeColor="accent1" w:themeShade="80"/>
    </w:rPr>
  </w:style>
  <w:style w:type="paragraph" w:styleId="8">
    <w:name w:val="heading 7"/>
    <w:basedOn w:val="1"/>
    <w:next w:val="1"/>
    <w:link w:val="36"/>
    <w:semiHidden/>
    <w:unhideWhenUsed/>
    <w:qFormat/>
    <w:uiPriority w:val="9"/>
    <w:pPr>
      <w:keepNext/>
      <w:keepLines/>
      <w:numPr>
        <w:ilvl w:val="6"/>
        <w:numId w:val="1"/>
      </w:numPr>
      <w:spacing w:before="40" w:after="0"/>
      <w:outlineLvl w:val="6"/>
    </w:pPr>
    <w:rPr>
      <w:rFonts w:asciiTheme="majorHAnsi" w:hAnsiTheme="majorHAnsi" w:eastAsiaTheme="majorEastAsia" w:cstheme="majorBidi"/>
      <w:i/>
      <w:iCs/>
      <w:color w:val="203864" w:themeColor="accent1" w:themeShade="80"/>
    </w:rPr>
  </w:style>
  <w:style w:type="paragraph" w:styleId="9">
    <w:name w:val="heading 8"/>
    <w:basedOn w:val="1"/>
    <w:next w:val="1"/>
    <w:link w:val="37"/>
    <w:semiHidden/>
    <w:unhideWhenUsed/>
    <w:qFormat/>
    <w:uiPriority w:val="9"/>
    <w:pPr>
      <w:keepNext/>
      <w:keepLines/>
      <w:numPr>
        <w:ilvl w:val="7"/>
        <w:numId w:val="1"/>
      </w:numPr>
      <w:spacing w:before="40" w:after="0"/>
      <w:outlineLvl w:val="7"/>
    </w:pPr>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paragraph" w:styleId="10">
    <w:name w:val="heading 9"/>
    <w:basedOn w:val="1"/>
    <w:next w:val="1"/>
    <w:link w:val="38"/>
    <w:semiHidden/>
    <w:unhideWhenUsed/>
    <w:qFormat/>
    <w:uiPriority w:val="9"/>
    <w:pPr>
      <w:keepNext/>
      <w:keepLines/>
      <w:numPr>
        <w:ilvl w:val="8"/>
        <w:numId w:val="1"/>
      </w:numPr>
      <w:spacing w:before="40" w:after="0"/>
      <w:outlineLvl w:val="8"/>
    </w:pPr>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0"/>
    <w:unhideWhenUsed/>
    <w:qFormat/>
    <w:uiPriority w:val="35"/>
    <w:pPr>
      <w:spacing w:after="200" w:line="240" w:lineRule="auto"/>
    </w:pPr>
    <w:rPr>
      <w:i/>
      <w:iCs/>
      <w:color w:val="44546A" w:themeColor="text2"/>
      <w:sz w:val="18"/>
      <w:szCs w:val="18"/>
      <w14:textFill>
        <w14:solidFill>
          <w14:schemeClr w14:val="tx2"/>
        </w14:solidFill>
      </w14:textFill>
    </w:rPr>
  </w:style>
  <w:style w:type="paragraph" w:styleId="12">
    <w:name w:val="annotation text"/>
    <w:basedOn w:val="1"/>
    <w:link w:val="48"/>
    <w:unhideWhenUsed/>
    <w:qFormat/>
    <w:uiPriority w:val="99"/>
    <w:pPr>
      <w:spacing w:line="240" w:lineRule="auto"/>
    </w:pPr>
    <w:rPr>
      <w:sz w:val="20"/>
      <w:szCs w:val="20"/>
    </w:rPr>
  </w:style>
  <w:style w:type="paragraph" w:styleId="13">
    <w:name w:val="Body Text"/>
    <w:basedOn w:val="1"/>
    <w:link w:val="41"/>
    <w:qFormat/>
    <w:uiPriority w:val="0"/>
    <w:pPr>
      <w:spacing w:after="120"/>
      <w:jc w:val="both"/>
    </w:pPr>
    <w:rPr>
      <w:rFonts w:ascii="Arial" w:hAnsi="Arial"/>
    </w:rPr>
  </w:style>
  <w:style w:type="paragraph" w:styleId="14">
    <w:name w:val="List 2"/>
    <w:basedOn w:val="1"/>
    <w:qFormat/>
    <w:uiPriority w:val="0"/>
    <w:pPr>
      <w:numPr>
        <w:ilvl w:val="0"/>
        <w:numId w:val="2"/>
      </w:numPr>
      <w:spacing w:before="180" w:after="0" w:line="240" w:lineRule="auto"/>
    </w:pPr>
    <w:rPr>
      <w:rFonts w:ascii="Arial" w:hAnsi="Arial" w:eastAsia="Batang" w:cs="Times New Roman"/>
      <w:szCs w:val="20"/>
      <w:lang w:val="en-GB"/>
    </w:rPr>
  </w:style>
  <w:style w:type="paragraph" w:styleId="15">
    <w:name w:val="Balloon Text"/>
    <w:basedOn w:val="1"/>
    <w:link w:val="47"/>
    <w:semiHidden/>
    <w:unhideWhenUsed/>
    <w:qFormat/>
    <w:uiPriority w:val="99"/>
    <w:pPr>
      <w:spacing w:after="0" w:line="240" w:lineRule="auto"/>
    </w:pPr>
    <w:rPr>
      <w:rFonts w:ascii="Segoe UI" w:hAnsi="Segoe UI" w:cs="Segoe UI"/>
      <w:sz w:val="18"/>
      <w:szCs w:val="18"/>
    </w:rPr>
  </w:style>
  <w:style w:type="paragraph" w:styleId="16">
    <w:name w:val="footer"/>
    <w:basedOn w:val="1"/>
    <w:link w:val="40"/>
    <w:qFormat/>
    <w:uiPriority w:val="0"/>
    <w:pPr>
      <w:widowControl w:val="0"/>
      <w:tabs>
        <w:tab w:val="center" w:pos="4680"/>
        <w:tab w:val="right" w:pos="9360"/>
      </w:tabs>
      <w:overflowPunct w:val="0"/>
      <w:autoSpaceDE w:val="0"/>
      <w:autoSpaceDN w:val="0"/>
      <w:adjustRightInd w:val="0"/>
      <w:jc w:val="center"/>
      <w:textAlignment w:val="baseline"/>
    </w:pPr>
    <w:rPr>
      <w:rFonts w:ascii="Arial" w:hAnsi="Arial" w:eastAsia="Times New Roman" w:cs="Times New Roman"/>
      <w:b/>
      <w:i/>
      <w:sz w:val="18"/>
      <w:szCs w:val="20"/>
      <w:lang w:val="en-GB" w:eastAsia="ja-JP"/>
    </w:rPr>
  </w:style>
  <w:style w:type="paragraph" w:styleId="17">
    <w:name w:val="header"/>
    <w:basedOn w:val="1"/>
    <w:link w:val="44"/>
    <w:unhideWhenUsed/>
    <w:qFormat/>
    <w:uiPriority w:val="99"/>
    <w:pPr>
      <w:tabs>
        <w:tab w:val="center" w:pos="4680"/>
        <w:tab w:val="right" w:pos="9360"/>
      </w:tabs>
      <w:spacing w:after="0" w:line="240" w:lineRule="auto"/>
    </w:pPr>
  </w:style>
  <w:style w:type="paragraph" w:styleId="18">
    <w:name w:val="table of figures"/>
    <w:basedOn w:val="13"/>
    <w:next w:val="1"/>
    <w:qFormat/>
    <w:uiPriority w:val="99"/>
    <w:pPr>
      <w:ind w:left="1701" w:hanging="1701"/>
      <w:jc w:val="left"/>
    </w:pPr>
    <w:rPr>
      <w:b/>
    </w:rPr>
  </w:style>
  <w:style w:type="paragraph" w:styleId="19">
    <w:name w:val="Normal (Web)"/>
    <w:basedOn w:val="1"/>
    <w:semiHidden/>
    <w:unhideWhenUsed/>
    <w:qFormat/>
    <w:uiPriority w:val="99"/>
    <w:pPr>
      <w:spacing w:before="100" w:beforeAutospacing="1" w:after="100" w:afterAutospacing="1" w:line="240" w:lineRule="auto"/>
    </w:pPr>
    <w:rPr>
      <w:rFonts w:ascii="Times New Roman" w:hAnsi="Times New Roman" w:eastAsia="Times New Roman" w:cs="Times New Roman"/>
      <w:sz w:val="24"/>
      <w:szCs w:val="24"/>
    </w:rPr>
  </w:style>
  <w:style w:type="paragraph" w:styleId="20">
    <w:name w:val="Title"/>
    <w:basedOn w:val="1"/>
    <w:next w:val="1"/>
    <w:link w:val="66"/>
    <w:qFormat/>
    <w:uiPriority w:val="10"/>
    <w:pPr>
      <w:spacing w:after="0" w:line="240" w:lineRule="auto"/>
      <w:contextualSpacing/>
    </w:pPr>
    <w:rPr>
      <w:rFonts w:asciiTheme="majorHAnsi" w:hAnsiTheme="majorHAnsi" w:eastAsiaTheme="majorEastAsia" w:cstheme="majorBidi"/>
      <w:spacing w:val="-10"/>
      <w:kern w:val="28"/>
      <w:sz w:val="56"/>
      <w:szCs w:val="56"/>
    </w:rPr>
  </w:style>
  <w:style w:type="paragraph" w:styleId="21">
    <w:name w:val="annotation subject"/>
    <w:basedOn w:val="12"/>
    <w:next w:val="12"/>
    <w:link w:val="49"/>
    <w:semiHidden/>
    <w:unhideWhenUsed/>
    <w:qFormat/>
    <w:uiPriority w:val="99"/>
    <w:rPr>
      <w:b/>
      <w:bCs/>
    </w:rPr>
  </w:style>
  <w:style w:type="table" w:styleId="23">
    <w:name w:val="Table Grid"/>
    <w:basedOn w:val="22"/>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page number"/>
    <w:basedOn w:val="24"/>
    <w:qFormat/>
    <w:uiPriority w:val="0"/>
  </w:style>
  <w:style w:type="character" w:styleId="26">
    <w:name w:val="FollowedHyperlink"/>
    <w:basedOn w:val="24"/>
    <w:semiHidden/>
    <w:unhideWhenUsed/>
    <w:qFormat/>
    <w:uiPriority w:val="99"/>
    <w:rPr>
      <w:color w:val="954F72" w:themeColor="followedHyperlink"/>
      <w:u w:val="single"/>
      <w14:textFill>
        <w14:solidFill>
          <w14:schemeClr w14:val="folHlink"/>
        </w14:solidFill>
      </w14:textFill>
    </w:rPr>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semiHidden/>
    <w:unhideWhenUsed/>
    <w:qFormat/>
    <w:uiPriority w:val="99"/>
    <w:rPr>
      <w:sz w:val="16"/>
      <w:szCs w:val="16"/>
    </w:rPr>
  </w:style>
  <w:style w:type="character" w:customStyle="1" w:styleId="30">
    <w:name w:val="Heading 1 Char"/>
    <w:basedOn w:val="24"/>
    <w:link w:val="2"/>
    <w:qFormat/>
    <w:uiPriority w:val="0"/>
    <w:rPr>
      <w:rFonts w:ascii="Arial" w:hAnsi="Arial" w:eastAsia="Times New Roman" w:cs="Times New Roman"/>
      <w:sz w:val="36"/>
      <w:szCs w:val="20"/>
      <w:lang w:val="en-GB" w:eastAsia="ja-JP"/>
    </w:rPr>
  </w:style>
  <w:style w:type="character" w:customStyle="1" w:styleId="31">
    <w:name w:val="Heading 2 Char"/>
    <w:basedOn w:val="24"/>
    <w:link w:val="3"/>
    <w:qFormat/>
    <w:uiPriority w:val="9"/>
    <w:rPr>
      <w:rFonts w:asciiTheme="majorHAnsi" w:hAnsiTheme="majorHAnsi" w:eastAsiaTheme="majorEastAsia" w:cstheme="majorBidi"/>
      <w:color w:val="2F5597" w:themeColor="accent1" w:themeShade="BF"/>
      <w:sz w:val="26"/>
      <w:szCs w:val="26"/>
    </w:rPr>
  </w:style>
  <w:style w:type="character" w:customStyle="1" w:styleId="32">
    <w:name w:val="Heading 3 Char"/>
    <w:basedOn w:val="24"/>
    <w:link w:val="4"/>
    <w:qFormat/>
    <w:uiPriority w:val="9"/>
    <w:rPr>
      <w:rFonts w:asciiTheme="majorHAnsi" w:hAnsiTheme="majorHAnsi" w:eastAsiaTheme="majorEastAsia" w:cstheme="majorBidi"/>
      <w:color w:val="203864" w:themeColor="accent1" w:themeShade="80"/>
      <w:sz w:val="24"/>
      <w:szCs w:val="24"/>
    </w:rPr>
  </w:style>
  <w:style w:type="character" w:customStyle="1" w:styleId="33">
    <w:name w:val="Heading 4 Char"/>
    <w:basedOn w:val="24"/>
    <w:link w:val="5"/>
    <w:semiHidden/>
    <w:qFormat/>
    <w:uiPriority w:val="9"/>
    <w:rPr>
      <w:rFonts w:asciiTheme="majorHAnsi" w:hAnsiTheme="majorHAnsi" w:eastAsiaTheme="majorEastAsia" w:cstheme="majorBidi"/>
      <w:i/>
      <w:iCs/>
      <w:color w:val="2F5597" w:themeColor="accent1" w:themeShade="BF"/>
    </w:rPr>
  </w:style>
  <w:style w:type="character" w:customStyle="1" w:styleId="34">
    <w:name w:val="Heading 5 Char"/>
    <w:basedOn w:val="24"/>
    <w:link w:val="6"/>
    <w:semiHidden/>
    <w:qFormat/>
    <w:uiPriority w:val="9"/>
    <w:rPr>
      <w:rFonts w:asciiTheme="majorHAnsi" w:hAnsiTheme="majorHAnsi" w:eastAsiaTheme="majorEastAsia" w:cstheme="majorBidi"/>
      <w:color w:val="2F5597" w:themeColor="accent1" w:themeShade="BF"/>
    </w:rPr>
  </w:style>
  <w:style w:type="character" w:customStyle="1" w:styleId="35">
    <w:name w:val="Heading 6 Char"/>
    <w:basedOn w:val="24"/>
    <w:link w:val="7"/>
    <w:semiHidden/>
    <w:qFormat/>
    <w:uiPriority w:val="9"/>
    <w:rPr>
      <w:rFonts w:asciiTheme="majorHAnsi" w:hAnsiTheme="majorHAnsi" w:eastAsiaTheme="majorEastAsia" w:cstheme="majorBidi"/>
      <w:color w:val="203864" w:themeColor="accent1" w:themeShade="80"/>
    </w:rPr>
  </w:style>
  <w:style w:type="character" w:customStyle="1" w:styleId="36">
    <w:name w:val="Heading 7 Char"/>
    <w:basedOn w:val="24"/>
    <w:link w:val="8"/>
    <w:semiHidden/>
    <w:qFormat/>
    <w:uiPriority w:val="9"/>
    <w:rPr>
      <w:rFonts w:asciiTheme="majorHAnsi" w:hAnsiTheme="majorHAnsi" w:eastAsiaTheme="majorEastAsia" w:cstheme="majorBidi"/>
      <w:i/>
      <w:iCs/>
      <w:color w:val="203864" w:themeColor="accent1" w:themeShade="80"/>
    </w:rPr>
  </w:style>
  <w:style w:type="character" w:customStyle="1" w:styleId="37">
    <w:name w:val="Heading 8 Char"/>
    <w:basedOn w:val="24"/>
    <w:link w:val="9"/>
    <w:semiHidden/>
    <w:qFormat/>
    <w:uiPriority w:val="9"/>
    <w:rPr>
      <w:rFonts w:asciiTheme="majorHAnsi" w:hAnsiTheme="majorHAnsi" w:eastAsiaTheme="majorEastAsia" w:cstheme="majorBidi"/>
      <w:color w:val="262626" w:themeColor="text1" w:themeTint="D9"/>
      <w:sz w:val="21"/>
      <w:szCs w:val="21"/>
      <w14:textFill>
        <w14:solidFill>
          <w14:schemeClr w14:val="tx1">
            <w14:lumMod w14:val="85000"/>
            <w14:lumOff w14:val="15000"/>
          </w14:schemeClr>
        </w14:solidFill>
      </w14:textFill>
    </w:rPr>
  </w:style>
  <w:style w:type="character" w:customStyle="1" w:styleId="38">
    <w:name w:val="Heading 9 Char"/>
    <w:basedOn w:val="24"/>
    <w:link w:val="10"/>
    <w:semiHidden/>
    <w:qFormat/>
    <w:uiPriority w:val="9"/>
    <w:rPr>
      <w:rFonts w:asciiTheme="majorHAnsi" w:hAnsiTheme="majorHAnsi" w:eastAsiaTheme="majorEastAsia" w:cstheme="majorBidi"/>
      <w:i/>
      <w:iCs/>
      <w:color w:val="262626" w:themeColor="text1" w:themeTint="D9"/>
      <w:sz w:val="21"/>
      <w:szCs w:val="21"/>
      <w14:textFill>
        <w14:solidFill>
          <w14:schemeClr w14:val="tx1">
            <w14:lumMod w14:val="85000"/>
            <w14:lumOff w14:val="15000"/>
          </w14:schemeClr>
        </w14:solidFill>
      </w14:textFill>
    </w:rPr>
  </w:style>
  <w:style w:type="paragraph" w:customStyle="1" w:styleId="39">
    <w:name w:val="3GPP_Header"/>
    <w:basedOn w:val="13"/>
    <w:qFormat/>
    <w:uiPriority w:val="0"/>
    <w:pPr>
      <w:tabs>
        <w:tab w:val="left" w:pos="1701"/>
        <w:tab w:val="right" w:pos="9639"/>
      </w:tabs>
      <w:spacing w:after="240"/>
    </w:pPr>
    <w:rPr>
      <w:b/>
      <w:sz w:val="24"/>
    </w:rPr>
  </w:style>
  <w:style w:type="character" w:customStyle="1" w:styleId="40">
    <w:name w:val="Footer Char"/>
    <w:basedOn w:val="24"/>
    <w:link w:val="16"/>
    <w:qFormat/>
    <w:uiPriority w:val="0"/>
    <w:rPr>
      <w:rFonts w:ascii="Arial" w:hAnsi="Arial" w:eastAsia="Times New Roman" w:cs="Times New Roman"/>
      <w:b/>
      <w:i/>
      <w:sz w:val="18"/>
      <w:szCs w:val="20"/>
      <w:lang w:val="en-GB" w:eastAsia="ja-JP"/>
    </w:rPr>
  </w:style>
  <w:style w:type="character" w:customStyle="1" w:styleId="41">
    <w:name w:val="Body Text Char"/>
    <w:basedOn w:val="24"/>
    <w:link w:val="13"/>
    <w:qFormat/>
    <w:uiPriority w:val="0"/>
    <w:rPr>
      <w:rFonts w:ascii="Arial" w:hAnsi="Arial"/>
    </w:rPr>
  </w:style>
  <w:style w:type="paragraph" w:customStyle="1" w:styleId="42">
    <w:name w:val="Proposal"/>
    <w:basedOn w:val="13"/>
    <w:qFormat/>
    <w:uiPriority w:val="0"/>
    <w:pPr>
      <w:numPr>
        <w:ilvl w:val="0"/>
        <w:numId w:val="3"/>
      </w:numPr>
      <w:tabs>
        <w:tab w:val="left" w:pos="1701"/>
      </w:tabs>
      <w:spacing w:line="260" w:lineRule="auto"/>
      <w:ind w:left="567" w:hanging="567"/>
    </w:pPr>
    <w:rPr>
      <w:rFonts w:ascii="Times New Roman" w:hAnsi="Times New Roman"/>
      <w:b/>
      <w:bCs/>
    </w:rPr>
  </w:style>
  <w:style w:type="paragraph" w:customStyle="1" w:styleId="43">
    <w:name w:val="Observation"/>
    <w:basedOn w:val="42"/>
    <w:qFormat/>
    <w:uiPriority w:val="0"/>
    <w:pPr>
      <w:numPr>
        <w:ilvl w:val="0"/>
        <w:numId w:val="4"/>
      </w:numPr>
    </w:pPr>
    <w:rPr>
      <w:lang w:eastAsia="ja-JP"/>
    </w:rPr>
  </w:style>
  <w:style w:type="character" w:customStyle="1" w:styleId="44">
    <w:name w:val="Header Char"/>
    <w:basedOn w:val="24"/>
    <w:link w:val="17"/>
    <w:qFormat/>
    <w:uiPriority w:val="99"/>
  </w:style>
  <w:style w:type="character" w:customStyle="1" w:styleId="45">
    <w:name w:val="Unresolved Mention"/>
    <w:basedOn w:val="24"/>
    <w:unhideWhenUsed/>
    <w:qFormat/>
    <w:uiPriority w:val="99"/>
    <w:rPr>
      <w:color w:val="605E5C"/>
      <w:shd w:val="clear" w:color="auto" w:fill="E1DFDD"/>
    </w:rPr>
  </w:style>
  <w:style w:type="paragraph" w:styleId="46">
    <w:name w:val="List Paragraph"/>
    <w:basedOn w:val="1"/>
    <w:link w:val="61"/>
    <w:qFormat/>
    <w:uiPriority w:val="34"/>
    <w:pPr>
      <w:ind w:left="720"/>
      <w:contextualSpacing/>
    </w:pPr>
  </w:style>
  <w:style w:type="character" w:customStyle="1" w:styleId="47">
    <w:name w:val="Balloon Text Char"/>
    <w:basedOn w:val="24"/>
    <w:link w:val="15"/>
    <w:semiHidden/>
    <w:qFormat/>
    <w:uiPriority w:val="99"/>
    <w:rPr>
      <w:rFonts w:ascii="Segoe UI" w:hAnsi="Segoe UI" w:cs="Segoe UI"/>
      <w:sz w:val="18"/>
      <w:szCs w:val="18"/>
    </w:rPr>
  </w:style>
  <w:style w:type="character" w:customStyle="1" w:styleId="48">
    <w:name w:val="Comment Text Char"/>
    <w:basedOn w:val="24"/>
    <w:link w:val="12"/>
    <w:qFormat/>
    <w:uiPriority w:val="99"/>
    <w:rPr>
      <w:sz w:val="20"/>
      <w:szCs w:val="20"/>
    </w:rPr>
  </w:style>
  <w:style w:type="character" w:customStyle="1" w:styleId="49">
    <w:name w:val="Comment Subject Char"/>
    <w:basedOn w:val="48"/>
    <w:link w:val="21"/>
    <w:semiHidden/>
    <w:qFormat/>
    <w:uiPriority w:val="99"/>
    <w:rPr>
      <w:b/>
      <w:bCs/>
      <w:sz w:val="20"/>
      <w:szCs w:val="20"/>
    </w:rPr>
  </w:style>
  <w:style w:type="paragraph" w:customStyle="1" w:styleId="50">
    <w:name w:val="Default"/>
    <w:qFormat/>
    <w:uiPriority w:val="0"/>
    <w:pPr>
      <w:autoSpaceDE w:val="0"/>
      <w:autoSpaceDN w:val="0"/>
      <w:adjustRightInd w:val="0"/>
      <w:spacing w:after="0" w:line="240" w:lineRule="auto"/>
    </w:pPr>
    <w:rPr>
      <w:rFonts w:ascii="Arial" w:hAnsi="Arial" w:cs="Arial" w:eastAsiaTheme="minorEastAsia"/>
      <w:color w:val="000000"/>
      <w:sz w:val="24"/>
      <w:szCs w:val="24"/>
      <w:lang w:val="en-US" w:eastAsia="en-US" w:bidi="ar-SA"/>
    </w:rPr>
  </w:style>
  <w:style w:type="paragraph" w:customStyle="1" w:styleId="51">
    <w:name w:val="B1"/>
    <w:basedOn w:val="1"/>
    <w:link w:val="52"/>
    <w:qFormat/>
    <w:uiPriority w:val="0"/>
    <w:pPr>
      <w:spacing w:after="180" w:line="240" w:lineRule="auto"/>
      <w:ind w:left="568" w:hanging="284"/>
    </w:pPr>
    <w:rPr>
      <w:rFonts w:ascii="Times New Roman" w:hAnsi="Times New Roman" w:eastAsia="宋体" w:cs="Times New Roman"/>
      <w:sz w:val="20"/>
      <w:szCs w:val="20"/>
      <w:lang w:val="en-GB"/>
    </w:rPr>
  </w:style>
  <w:style w:type="character" w:customStyle="1" w:styleId="52">
    <w:name w:val="B1 Char1"/>
    <w:link w:val="51"/>
    <w:qFormat/>
    <w:uiPriority w:val="0"/>
    <w:rPr>
      <w:rFonts w:ascii="Times New Roman" w:hAnsi="Times New Roman" w:eastAsia="宋体" w:cs="Times New Roman"/>
      <w:sz w:val="20"/>
      <w:szCs w:val="20"/>
      <w:lang w:val="en-GB"/>
    </w:rPr>
  </w:style>
  <w:style w:type="table" w:customStyle="1" w:styleId="53">
    <w:name w:val="Grid Table 5 Dark Accent 1"/>
    <w:basedOn w:val="22"/>
    <w:qFormat/>
    <w:uiPriority w:val="50"/>
    <w:pPr>
      <w:spacing w:after="0" w:line="240" w:lineRule="auto"/>
    </w:pPr>
    <w:rPr>
      <w:rFonts w:ascii="CG Times (WN)" w:hAnsi="CG Times (WN)" w:eastAsia="Times New Roman" w:cs="Times New Roman"/>
      <w:sz w:val="20"/>
      <w:szCs w:val="20"/>
      <w:lang w:val="en-GB" w:eastAsia="en-GB"/>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54">
    <w:name w:val="Grid Table 1 Light Accent 1"/>
    <w:basedOn w:val="22"/>
    <w:qFormat/>
    <w:uiPriority w:val="46"/>
    <w:pPr>
      <w:spacing w:after="0" w:line="240" w:lineRule="auto"/>
    </w:pPr>
    <w:tblPr>
      <w:tblBorders>
        <w:top w:val="single" w:color="B4C6E7" w:themeColor="accent1" w:themeTint="66" w:sz="4" w:space="0"/>
        <w:left w:val="single" w:color="B4C6E7" w:themeColor="accent1" w:themeTint="66" w:sz="4" w:space="0"/>
        <w:bottom w:val="single" w:color="B4C6E7" w:themeColor="accent1" w:themeTint="66" w:sz="4" w:space="0"/>
        <w:right w:val="single" w:color="B4C6E7" w:themeColor="accent1" w:themeTint="66" w:sz="4" w:space="0"/>
        <w:insideH w:val="single" w:color="B4C6E7" w:themeColor="accent1" w:themeTint="66" w:sz="4" w:space="0"/>
        <w:insideV w:val="single" w:color="B4C6E7" w:themeColor="accent1" w:themeTint="66" w:sz="4" w:space="0"/>
      </w:tblBorders>
    </w:tblPr>
    <w:tblStylePr w:type="firstRow">
      <w:rPr>
        <w:b/>
        <w:bCs/>
      </w:rPr>
      <w:tcPr>
        <w:tcBorders>
          <w:bottom w:val="single" w:color="8EAADB" w:themeColor="accent1" w:themeTint="99" w:sz="12" w:space="0"/>
        </w:tcBorders>
      </w:tcPr>
    </w:tblStylePr>
    <w:tblStylePr w:type="lastRow">
      <w:rPr>
        <w:b/>
        <w:bCs/>
      </w:rPr>
      <w:tcPr>
        <w:tcBorders>
          <w:top w:val="double" w:color="8EAADB" w:themeColor="accent1" w:themeTint="99" w:sz="2" w:space="0"/>
        </w:tcBorders>
      </w:tcPr>
    </w:tblStylePr>
    <w:tblStylePr w:type="firstCol">
      <w:rPr>
        <w:b/>
        <w:bCs/>
      </w:rPr>
    </w:tblStylePr>
    <w:tblStylePr w:type="lastCol">
      <w:rPr>
        <w:b/>
        <w:bCs/>
      </w:rPr>
    </w:tblStylePr>
  </w:style>
  <w:style w:type="table" w:customStyle="1" w:styleId="55">
    <w:name w:val="Grid Table 1 Light Accent 5"/>
    <w:basedOn w:val="22"/>
    <w:qFormat/>
    <w:uiPriority w:val="46"/>
    <w:pPr>
      <w:spacing w:after="0" w:line="240" w:lineRule="auto"/>
    </w:pPr>
    <w:tblPr>
      <w:tblBorders>
        <w:top w:val="single" w:color="BDD6EE" w:themeColor="accent5" w:themeTint="66" w:sz="4" w:space="0"/>
        <w:left w:val="single" w:color="BDD6EE" w:themeColor="accent5" w:themeTint="66" w:sz="4" w:space="0"/>
        <w:bottom w:val="single" w:color="BDD6EE" w:themeColor="accent5" w:themeTint="66" w:sz="4" w:space="0"/>
        <w:right w:val="single" w:color="BDD6EE" w:themeColor="accent5" w:themeTint="66" w:sz="4" w:space="0"/>
        <w:insideH w:val="single" w:color="BDD6EE" w:themeColor="accent5" w:themeTint="66" w:sz="4" w:space="0"/>
        <w:insideV w:val="single" w:color="BDD6EE" w:themeColor="accent5" w:themeTint="66" w:sz="4" w:space="0"/>
      </w:tblBorders>
    </w:tblPr>
    <w:tblStylePr w:type="firstRow">
      <w:rPr>
        <w:b/>
        <w:bCs/>
      </w:rPr>
      <w:tcPr>
        <w:tcBorders>
          <w:bottom w:val="single" w:color="9CC2E5" w:themeColor="accent5" w:themeTint="99" w:sz="12" w:space="0"/>
        </w:tcBorders>
      </w:tcPr>
    </w:tblStylePr>
    <w:tblStylePr w:type="lastRow">
      <w:rPr>
        <w:b/>
        <w:bCs/>
      </w:rPr>
      <w:tcPr>
        <w:tcBorders>
          <w:top w:val="double" w:color="9CC2E5" w:themeColor="accent5" w:themeTint="99" w:sz="2" w:space="0"/>
        </w:tcBorders>
      </w:tcPr>
    </w:tblStylePr>
    <w:tblStylePr w:type="firstCol">
      <w:rPr>
        <w:b/>
        <w:bCs/>
      </w:rPr>
    </w:tblStylePr>
    <w:tblStylePr w:type="lastCol">
      <w:rPr>
        <w:b/>
        <w:bCs/>
      </w:rPr>
    </w:tblStylePr>
  </w:style>
  <w:style w:type="table" w:customStyle="1" w:styleId="56">
    <w:name w:val="Grid Table 4 Accent 5"/>
    <w:basedOn w:val="22"/>
    <w:qFormat/>
    <w:uiPriority w:val="49"/>
    <w:pPr>
      <w:spacing w:after="0" w:line="240" w:lineRule="auto"/>
    </w:pPr>
    <w:tblPr>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14:textFill>
          <w14:solidFill>
            <w14:schemeClr w14:val="bg1"/>
          </w14:solidFill>
        </w14:textFill>
      </w:r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cPr>
        <w:tcBorders>
          <w:top w:val="double" w:color="5B9BD5" w:themeColor="accent5" w:sz="4" w:space="0"/>
        </w:tcBorders>
      </w:tcPr>
    </w:tblStylePr>
    <w:tblStylePr w:type="firstCol">
      <w:rPr>
        <w:b/>
        <w:bCs/>
      </w:rPr>
    </w:tblStylePr>
    <w:tblStylePr w:type="lastCol">
      <w:rPr>
        <w:b/>
        <w:bCs/>
      </w:rPr>
    </w:tblStylePr>
    <w:tblStylePr w:type="band1Vert">
      <w:tcPr>
        <w:shd w:val="clear" w:color="auto" w:fill="DEEAF6" w:themeFill="accent5" w:themeFillTint="33"/>
      </w:tcPr>
    </w:tblStylePr>
    <w:tblStylePr w:type="band1Horz">
      <w:tcPr>
        <w:shd w:val="clear" w:color="auto" w:fill="DEEAF6" w:themeFill="accent5" w:themeFillTint="33"/>
      </w:tcPr>
    </w:tblStylePr>
  </w:style>
  <w:style w:type="table" w:customStyle="1" w:styleId="57">
    <w:name w:val="Grid Table 4"/>
    <w:basedOn w:val="22"/>
    <w:qFormat/>
    <w:uiPriority w:val="49"/>
    <w:pPr>
      <w:spacing w:after="0" w:line="240" w:lineRule="auto"/>
    </w:p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58">
    <w:name w:val="Grid Table 5 Dark"/>
    <w:basedOn w:val="22"/>
    <w:qFormat/>
    <w:uiPriority w:val="50"/>
    <w:pPr>
      <w:spacing w:after="0" w:line="240" w:lineRule="auto"/>
    </w:p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CCCCCC" w:themeFill="tex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000000" w:themeFill="tex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000000" w:themeFill="tex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000000" w:themeFill="tex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000000" w:themeFill="text1"/>
      </w:tcPr>
    </w:tblStylePr>
    <w:tblStylePr w:type="band1Vert">
      <w:tcPr>
        <w:shd w:val="clear" w:color="auto" w:fill="999999" w:themeFill="text1" w:themeFillTint="66"/>
      </w:tcPr>
    </w:tblStylePr>
    <w:tblStylePr w:type="band1Horz">
      <w:tcPr>
        <w:shd w:val="clear" w:color="auto" w:fill="999999" w:themeFill="text1" w:themeFillTint="66"/>
      </w:tcPr>
    </w:tblStylePr>
  </w:style>
  <w:style w:type="table" w:customStyle="1" w:styleId="59">
    <w:name w:val="Grid Table 4 Accent 1"/>
    <w:basedOn w:val="22"/>
    <w:qFormat/>
    <w:uiPriority w:val="49"/>
    <w:pPr>
      <w:spacing w:after="0" w:line="240" w:lineRule="auto"/>
    </w:p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character" w:customStyle="1" w:styleId="60">
    <w:name w:val="Caption Char"/>
    <w:link w:val="11"/>
    <w:qFormat/>
    <w:uiPriority w:val="35"/>
    <w:rPr>
      <w:i/>
      <w:iCs/>
      <w:color w:val="44546A" w:themeColor="text2"/>
      <w:sz w:val="18"/>
      <w:szCs w:val="18"/>
      <w14:textFill>
        <w14:solidFill>
          <w14:schemeClr w14:val="tx2"/>
        </w14:solidFill>
      </w14:textFill>
    </w:rPr>
  </w:style>
  <w:style w:type="character" w:customStyle="1" w:styleId="61">
    <w:name w:val="List Paragraph Char"/>
    <w:link w:val="46"/>
    <w:qFormat/>
    <w:locked/>
    <w:uiPriority w:val="34"/>
  </w:style>
  <w:style w:type="paragraph" w:customStyle="1" w:styleId="62">
    <w:name w:val="Revision"/>
    <w:hidden/>
    <w:semiHidden/>
    <w:qFormat/>
    <w:uiPriority w:val="99"/>
    <w:pPr>
      <w:spacing w:after="0" w:line="240" w:lineRule="auto"/>
    </w:pPr>
    <w:rPr>
      <w:rFonts w:asciiTheme="minorHAnsi" w:hAnsiTheme="minorHAnsi" w:eastAsiaTheme="minorEastAsia" w:cstheme="minorBidi"/>
      <w:sz w:val="22"/>
      <w:szCs w:val="22"/>
      <w:lang w:val="en-US" w:eastAsia="en-US" w:bidi="ar-SA"/>
    </w:rPr>
  </w:style>
  <w:style w:type="character" w:customStyle="1" w:styleId="63">
    <w:name w:val="apple-converted-space"/>
    <w:basedOn w:val="24"/>
    <w:qFormat/>
    <w:uiPriority w:val="0"/>
  </w:style>
  <w:style w:type="character" w:customStyle="1" w:styleId="64">
    <w:name w:val="Mention"/>
    <w:basedOn w:val="24"/>
    <w:unhideWhenUsed/>
    <w:qFormat/>
    <w:uiPriority w:val="99"/>
    <w:rPr>
      <w:color w:val="2B579A"/>
      <w:shd w:val="clear" w:color="auto" w:fill="E1DFDD"/>
    </w:rPr>
  </w:style>
  <w:style w:type="paragraph" w:customStyle="1" w:styleId="65">
    <w:name w:val="Agreement"/>
    <w:basedOn w:val="1"/>
    <w:next w:val="1"/>
    <w:qFormat/>
    <w:uiPriority w:val="99"/>
    <w:pPr>
      <w:numPr>
        <w:ilvl w:val="0"/>
        <w:numId w:val="5"/>
      </w:numPr>
      <w:tabs>
        <w:tab w:val="left" w:pos="1619"/>
        <w:tab w:val="clear" w:pos="1636"/>
      </w:tabs>
      <w:spacing w:before="60" w:after="0" w:line="240" w:lineRule="auto"/>
      <w:ind w:left="1619"/>
    </w:pPr>
    <w:rPr>
      <w:rFonts w:ascii="Arial" w:hAnsi="Arial" w:eastAsia="MS Mincho" w:cs="Times New Roman"/>
      <w:b/>
      <w:sz w:val="20"/>
      <w:szCs w:val="24"/>
      <w:lang w:val="en-GB" w:eastAsia="en-GB"/>
    </w:rPr>
  </w:style>
  <w:style w:type="character" w:customStyle="1" w:styleId="66">
    <w:name w:val="Title Char"/>
    <w:basedOn w:val="24"/>
    <w:link w:val="20"/>
    <w:qFormat/>
    <w:uiPriority w:val="10"/>
    <w:rPr>
      <w:rFonts w:asciiTheme="majorHAnsi" w:hAnsiTheme="majorHAnsi" w:eastAsiaTheme="majorEastAsia" w:cstheme="majorBidi"/>
      <w:spacing w:val="-10"/>
      <w:kern w:val="28"/>
      <w:sz w:val="56"/>
      <w:szCs w:val="56"/>
    </w:rPr>
  </w:style>
  <w:style w:type="paragraph" w:customStyle="1" w:styleId="67">
    <w:name w:val="IvD bodytext"/>
    <w:basedOn w:val="13"/>
    <w:link w:val="68"/>
    <w:qFormat/>
    <w:uiPriority w:val="0"/>
    <w:pPr>
      <w:keepLines/>
      <w:tabs>
        <w:tab w:val="left" w:pos="2552"/>
        <w:tab w:val="left" w:pos="3856"/>
        <w:tab w:val="left" w:pos="5216"/>
        <w:tab w:val="left" w:pos="6464"/>
        <w:tab w:val="left" w:pos="7768"/>
        <w:tab w:val="left" w:pos="9072"/>
        <w:tab w:val="left" w:pos="9639"/>
      </w:tabs>
      <w:spacing w:before="240" w:after="0" w:line="240" w:lineRule="auto"/>
      <w:jc w:val="left"/>
    </w:pPr>
    <w:rPr>
      <w:rFonts w:cs="Times New Roman"/>
      <w:spacing w:val="2"/>
      <w:sz w:val="20"/>
      <w:szCs w:val="20"/>
    </w:rPr>
  </w:style>
  <w:style w:type="character" w:customStyle="1" w:styleId="68">
    <w:name w:val="IvD bodytext Char"/>
    <w:basedOn w:val="24"/>
    <w:link w:val="67"/>
    <w:qFormat/>
    <w:uiPriority w:val="0"/>
    <w:rPr>
      <w:rFonts w:ascii="Arial" w:hAnsi="Arial" w:cs="Times New Roman"/>
      <w:spacing w:val="2"/>
      <w:sz w:val="20"/>
      <w:szCs w:val="20"/>
    </w:rPr>
  </w:style>
  <w:style w:type="paragraph" w:customStyle="1" w:styleId="69">
    <w:name w:val="YJ-Proposal"/>
    <w:basedOn w:val="1"/>
    <w:qFormat/>
    <w:uiPriority w:val="0"/>
    <w:pPr>
      <w:numPr>
        <w:ilvl w:val="0"/>
        <w:numId w:val="6"/>
      </w:numPr>
      <w:jc w:val="left"/>
    </w:pPr>
    <w:rPr>
      <w:rFonts w:eastAsiaTheme="minorEastAsia"/>
      <w:b/>
      <w:bCs/>
      <w:i/>
      <w:iCs/>
      <w:sz w:val="20"/>
      <w:lang w:val="en-GB" w:eastAsia="en-US"/>
    </w:rPr>
  </w:style>
  <w:style w:type="paragraph" w:customStyle="1" w:styleId="70">
    <w:name w:val="CR Cover Page"/>
    <w:qFormat/>
    <w:uiPriority w:val="0"/>
    <w:pPr>
      <w:spacing w:after="120"/>
    </w:pPr>
    <w:rPr>
      <w:rFonts w:ascii="Arial" w:hAnsi="Arial" w:eastAsia="Batang"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2948</Words>
  <Characters>16808</Characters>
  <Lines>140</Lines>
  <Paragraphs>39</Paragraphs>
  <TotalTime>95</TotalTime>
  <ScaleCrop>false</ScaleCrop>
  <LinksUpToDate>false</LinksUpToDate>
  <CharactersWithSpaces>19717</CharactersWithSpaces>
  <Application>WPS Office_11.8.2.10183_F1E327BC-269C-435d-A152-05C5408002CA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2022-05-03T22:46:00Z</dcterms:created>
  <dcterms:modified xsi:type="dcterms:W3CDTF">2022-08-10T15:25:55Z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2052-11.8.2.10183</vt:lpwstr>
  </property>
</Properties>
</file>